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365"/>
        <w:gridCol w:w="3277"/>
        <w:gridCol w:w="3908"/>
        <w:gridCol w:w="4002"/>
      </w:tblGrid>
      <w:tr w:rsidR="00C63EC3" w:rsidRPr="004A470E" w:rsidTr="00196860">
        <w:trPr>
          <w:trHeight w:val="646"/>
          <w:tblHeader/>
          <w:jc w:val="center"/>
        </w:trPr>
        <w:tc>
          <w:tcPr>
            <w:tcW w:w="0" w:type="auto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solid" w:color="800000" w:fill="FFFFFF"/>
            <w:vAlign w:val="center"/>
          </w:tcPr>
          <w:p w:rsidR="00C63EC3" w:rsidRPr="004A470E" w:rsidRDefault="0073330A" w:rsidP="004C6328">
            <w:pPr>
              <w:pStyle w:val="BodyText"/>
              <w:rPr>
                <w:b/>
                <w:bCs/>
                <w:i/>
                <w:iCs/>
                <w:color w:val="FFFFFF"/>
                <w:sz w:val="24"/>
              </w:rPr>
            </w:pPr>
            <w:r w:rsidRPr="004A470E">
              <w:rPr>
                <w:b/>
                <w:color w:val="FFFFFF"/>
                <w:sz w:val="28"/>
                <w:szCs w:val="28"/>
                <w:highlight w:val="darkRed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solid" w:color="800000" w:fill="FFFFFF"/>
            <w:vAlign w:val="center"/>
          </w:tcPr>
          <w:p w:rsidR="00C63EC3" w:rsidRPr="004A470E" w:rsidRDefault="00C63EC3" w:rsidP="00D91987">
            <w:pPr>
              <w:pStyle w:val="BodyText"/>
              <w:jc w:val="center"/>
              <w:rPr>
                <w:b/>
                <w:bCs/>
                <w:i/>
                <w:iCs/>
                <w:color w:val="FFFFFF"/>
                <w:sz w:val="24"/>
              </w:rPr>
            </w:pPr>
            <w:r w:rsidRPr="004A470E">
              <w:rPr>
                <w:b/>
                <w:bCs/>
                <w:i/>
                <w:iCs/>
                <w:color w:val="FFFFFF"/>
                <w:sz w:val="24"/>
              </w:rPr>
              <w:t>Customer</w:t>
            </w:r>
          </w:p>
        </w:tc>
        <w:tc>
          <w:tcPr>
            <w:tcW w:w="0" w:type="auto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solid" w:color="800000" w:fill="FFFFFF"/>
            <w:vAlign w:val="center"/>
          </w:tcPr>
          <w:p w:rsidR="00C63EC3" w:rsidRPr="004A470E" w:rsidRDefault="00C63EC3" w:rsidP="00D91987">
            <w:pPr>
              <w:pStyle w:val="BodyText"/>
              <w:jc w:val="center"/>
              <w:rPr>
                <w:b/>
                <w:bCs/>
                <w:i/>
                <w:iCs/>
                <w:color w:val="FFFFFF"/>
                <w:sz w:val="24"/>
              </w:rPr>
            </w:pPr>
            <w:r w:rsidRPr="004A470E">
              <w:rPr>
                <w:b/>
                <w:bCs/>
                <w:i/>
                <w:iCs/>
                <w:color w:val="FFFFFF"/>
                <w:sz w:val="24"/>
              </w:rPr>
              <w:t>Operator</w:t>
            </w:r>
          </w:p>
        </w:tc>
        <w:tc>
          <w:tcPr>
            <w:tcW w:w="0" w:type="auto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solid" w:color="800000" w:fill="FFFFFF"/>
            <w:vAlign w:val="center"/>
          </w:tcPr>
          <w:p w:rsidR="00B408AA" w:rsidRPr="004A470E" w:rsidRDefault="00483E0A" w:rsidP="00483E0A">
            <w:pPr>
              <w:pStyle w:val="BodyText"/>
              <w:jc w:val="center"/>
              <w:rPr>
                <w:b/>
                <w:bCs/>
                <w:i/>
                <w:iCs/>
                <w:color w:val="FFFFFF"/>
                <w:sz w:val="24"/>
              </w:rPr>
            </w:pPr>
            <w:r w:rsidRPr="004A470E">
              <w:rPr>
                <w:b/>
                <w:bCs/>
                <w:i/>
                <w:iCs/>
                <w:color w:val="FFFFFF"/>
                <w:sz w:val="24"/>
              </w:rPr>
              <w:t>Owner and/or</w:t>
            </w:r>
            <w:r w:rsidR="00B408AA" w:rsidRPr="004A470E">
              <w:rPr>
                <w:b/>
                <w:bCs/>
                <w:i/>
                <w:iCs/>
                <w:color w:val="FFFFFF"/>
                <w:sz w:val="24"/>
              </w:rPr>
              <w:t xml:space="preserve"> Government</w:t>
            </w:r>
          </w:p>
        </w:tc>
      </w:tr>
      <w:tr w:rsidR="00C63EC3" w:rsidRPr="004A470E" w:rsidTr="00196860">
        <w:trPr>
          <w:jc w:val="center"/>
        </w:trPr>
        <w:tc>
          <w:tcPr>
            <w:tcW w:w="0" w:type="auto"/>
            <w:tcBorders>
              <w:top w:val="single" w:sz="12" w:space="0" w:color="F79646" w:themeColor="accent6"/>
            </w:tcBorders>
            <w:shd w:val="pct20" w:color="FFFF00" w:fill="FFFFFF"/>
            <w:vAlign w:val="center"/>
          </w:tcPr>
          <w:p w:rsidR="00C63EC3" w:rsidRPr="004A470E" w:rsidRDefault="00C63EC3" w:rsidP="00D91987">
            <w:pPr>
              <w:pStyle w:val="BodyText"/>
              <w:jc w:val="center"/>
              <w:rPr>
                <w:b/>
                <w:bCs/>
                <w:i/>
                <w:iCs/>
              </w:rPr>
            </w:pPr>
            <w:r w:rsidRPr="004A470E">
              <w:rPr>
                <w:b/>
                <w:bCs/>
                <w:i/>
                <w:iCs/>
              </w:rPr>
              <w:t>Safety</w:t>
            </w:r>
          </w:p>
        </w:tc>
        <w:tc>
          <w:tcPr>
            <w:tcW w:w="0" w:type="auto"/>
            <w:tcBorders>
              <w:top w:val="single" w:sz="12" w:space="0" w:color="F79646" w:themeColor="accent6"/>
            </w:tcBorders>
            <w:shd w:val="pct20" w:color="FFFF00" w:fill="FFFFFF"/>
            <w:vAlign w:val="center"/>
          </w:tcPr>
          <w:p w:rsidR="00C63EC3" w:rsidRPr="004A470E" w:rsidRDefault="001F65F3" w:rsidP="00782197">
            <w:pPr>
              <w:pStyle w:val="BodyText"/>
            </w:pPr>
            <w:r w:rsidRPr="004A470E">
              <w:t>Eliminate plaza infrastructure within roadway.</w:t>
            </w:r>
          </w:p>
          <w:p w:rsidR="001F65F3" w:rsidRPr="004A470E" w:rsidRDefault="001F65F3" w:rsidP="00782197">
            <w:pPr>
              <w:pStyle w:val="BodyText"/>
            </w:pPr>
            <w:r w:rsidRPr="004A470E">
              <w:t xml:space="preserve">Eliminate lane selection decision process, lane changing </w:t>
            </w:r>
            <w:r w:rsidR="00253C8C" w:rsidRPr="004A470E">
              <w:t>maneuvers, and stopping</w:t>
            </w:r>
            <w:r w:rsidRPr="004A470E">
              <w:t>.</w:t>
            </w:r>
          </w:p>
          <w:p w:rsidR="001F65F3" w:rsidRPr="004A470E" w:rsidRDefault="001F65F3" w:rsidP="00782197">
            <w:pPr>
              <w:pStyle w:val="BodyText"/>
            </w:pPr>
            <w:r w:rsidRPr="004A470E">
              <w:t xml:space="preserve">Eliminate acceleration and merging maneuvers. </w:t>
            </w:r>
          </w:p>
        </w:tc>
        <w:tc>
          <w:tcPr>
            <w:tcW w:w="0" w:type="auto"/>
            <w:tcBorders>
              <w:top w:val="single" w:sz="12" w:space="0" w:color="F79646" w:themeColor="accent6"/>
            </w:tcBorders>
            <w:shd w:val="pct20" w:color="FFFF00" w:fill="FFFFFF"/>
            <w:vAlign w:val="center"/>
          </w:tcPr>
          <w:p w:rsidR="001F65F3" w:rsidRPr="004A470E" w:rsidRDefault="00187913" w:rsidP="00782197">
            <w:pPr>
              <w:pStyle w:val="BodyText"/>
            </w:pPr>
            <w:r w:rsidRPr="004A470E">
              <w:t>Significantly r</w:t>
            </w:r>
            <w:r w:rsidR="001F65F3" w:rsidRPr="004A470E">
              <w:t>educe personnel - vehicle conflicts (no crossing lanes to access booths, less directing vehicles to pull over / turnaround.</w:t>
            </w:r>
          </w:p>
          <w:p w:rsidR="00B63FA1" w:rsidRPr="004A470E" w:rsidRDefault="00B63FA1" w:rsidP="00782197">
            <w:pPr>
              <w:pStyle w:val="BodyText"/>
            </w:pPr>
            <w:r w:rsidRPr="004A470E">
              <w:t>Significantly reduce personnel – customer conflicts (non-payment, robbery).</w:t>
            </w:r>
          </w:p>
          <w:p w:rsidR="00C63EC3" w:rsidRPr="004A470E" w:rsidRDefault="001F65F3" w:rsidP="00253C8C">
            <w:pPr>
              <w:pStyle w:val="BodyText"/>
            </w:pPr>
            <w:r w:rsidRPr="004A470E">
              <w:t xml:space="preserve">Eliminate cash transport in open roadway area. </w:t>
            </w:r>
          </w:p>
        </w:tc>
        <w:tc>
          <w:tcPr>
            <w:tcW w:w="0" w:type="auto"/>
            <w:tcBorders>
              <w:top w:val="single" w:sz="12" w:space="0" w:color="F79646" w:themeColor="accent6"/>
            </w:tcBorders>
            <w:shd w:val="pct20" w:color="FFFF00" w:fill="FFFFFF"/>
            <w:vAlign w:val="center"/>
          </w:tcPr>
          <w:p w:rsidR="00C63EC3" w:rsidRPr="004A470E" w:rsidRDefault="00187913" w:rsidP="00782197">
            <w:pPr>
              <w:pStyle w:val="BodyText"/>
            </w:pPr>
            <w:r w:rsidRPr="004A470E">
              <w:t>Significantly reduce</w:t>
            </w:r>
            <w:r w:rsidR="001F65F3" w:rsidRPr="004A470E">
              <w:t xml:space="preserve"> </w:t>
            </w:r>
            <w:r w:rsidRPr="004A470E">
              <w:t xml:space="preserve">customer </w:t>
            </w:r>
            <w:r w:rsidR="001F65F3" w:rsidRPr="004A470E">
              <w:t xml:space="preserve">claims for </w:t>
            </w:r>
            <w:r w:rsidRPr="004A470E">
              <w:t>damage by toll equipment.</w:t>
            </w:r>
          </w:p>
        </w:tc>
      </w:tr>
      <w:tr w:rsidR="00C63EC3" w:rsidRPr="004A470E" w:rsidTr="002571C1">
        <w:trPr>
          <w:jc w:val="center"/>
        </w:trPr>
        <w:tc>
          <w:tcPr>
            <w:tcW w:w="0" w:type="auto"/>
            <w:shd w:val="pct20" w:color="FFFF00" w:fill="FFFFFF"/>
            <w:vAlign w:val="center"/>
          </w:tcPr>
          <w:p w:rsidR="00C63EC3" w:rsidRPr="004A470E" w:rsidRDefault="00C63EC3" w:rsidP="00D91987">
            <w:pPr>
              <w:pStyle w:val="BodyText"/>
              <w:jc w:val="center"/>
              <w:rPr>
                <w:b/>
                <w:bCs/>
                <w:i/>
                <w:iCs/>
              </w:rPr>
            </w:pPr>
            <w:r w:rsidRPr="004A470E">
              <w:rPr>
                <w:b/>
                <w:bCs/>
                <w:i/>
                <w:iCs/>
              </w:rPr>
              <w:t>Travel Time</w:t>
            </w:r>
          </w:p>
        </w:tc>
        <w:tc>
          <w:tcPr>
            <w:tcW w:w="0" w:type="auto"/>
            <w:shd w:val="pct20" w:color="FFFF00" w:fill="FFFFFF"/>
            <w:vAlign w:val="center"/>
          </w:tcPr>
          <w:p w:rsidR="00C63EC3" w:rsidRPr="004A470E" w:rsidRDefault="00187913" w:rsidP="00782197">
            <w:pPr>
              <w:pStyle w:val="BodyText"/>
            </w:pPr>
            <w:r w:rsidRPr="004A470E">
              <w:t xml:space="preserve">Eliminate delay and congestion due to toll plaza. </w:t>
            </w:r>
          </w:p>
        </w:tc>
        <w:tc>
          <w:tcPr>
            <w:tcW w:w="0" w:type="auto"/>
            <w:shd w:val="pct20" w:color="FFFF00" w:fill="FFFFFF"/>
            <w:vAlign w:val="center"/>
          </w:tcPr>
          <w:p w:rsidR="00C63EC3" w:rsidRPr="004A470E" w:rsidRDefault="00187913" w:rsidP="00782197">
            <w:pPr>
              <w:pStyle w:val="BodyText"/>
            </w:pPr>
            <w:r w:rsidRPr="004A470E">
              <w:t>Not applicable.</w:t>
            </w:r>
          </w:p>
        </w:tc>
        <w:tc>
          <w:tcPr>
            <w:tcW w:w="0" w:type="auto"/>
            <w:shd w:val="pct20" w:color="FFFF00" w:fill="FFFFFF"/>
            <w:vAlign w:val="center"/>
          </w:tcPr>
          <w:p w:rsidR="00C63EC3" w:rsidRPr="004A470E" w:rsidRDefault="00253C8C" w:rsidP="00782197">
            <w:pPr>
              <w:pStyle w:val="BodyText"/>
            </w:pPr>
            <w:r w:rsidRPr="004A470E">
              <w:t>May exacerbate congestion at downstream capacity constraints</w:t>
            </w:r>
            <w:r w:rsidR="00187913" w:rsidRPr="004A470E">
              <w:t>.</w:t>
            </w:r>
          </w:p>
        </w:tc>
      </w:tr>
      <w:tr w:rsidR="00C63EC3" w:rsidRPr="004A470E" w:rsidTr="002571C1">
        <w:trPr>
          <w:jc w:val="center"/>
        </w:trPr>
        <w:tc>
          <w:tcPr>
            <w:tcW w:w="0" w:type="auto"/>
            <w:shd w:val="pct20" w:color="FFFF00" w:fill="FFFFFF"/>
            <w:vAlign w:val="center"/>
          </w:tcPr>
          <w:p w:rsidR="00C63EC3" w:rsidRPr="004A470E" w:rsidRDefault="00187913" w:rsidP="00D91987">
            <w:pPr>
              <w:pStyle w:val="BodyText"/>
              <w:jc w:val="center"/>
              <w:rPr>
                <w:b/>
                <w:bCs/>
                <w:i/>
                <w:iCs/>
              </w:rPr>
            </w:pPr>
            <w:r w:rsidRPr="004A470E">
              <w:rPr>
                <w:b/>
                <w:bCs/>
                <w:i/>
                <w:iCs/>
              </w:rPr>
              <w:t>Environment</w:t>
            </w:r>
          </w:p>
        </w:tc>
        <w:tc>
          <w:tcPr>
            <w:tcW w:w="0" w:type="auto"/>
            <w:shd w:val="pct20" w:color="FFFF00" w:fill="FFFFFF"/>
            <w:vAlign w:val="center"/>
          </w:tcPr>
          <w:p w:rsidR="00C63EC3" w:rsidRPr="004A470E" w:rsidRDefault="00187913" w:rsidP="00782197">
            <w:pPr>
              <w:pStyle w:val="BodyText"/>
            </w:pPr>
            <w:r w:rsidRPr="004A470E">
              <w:t>Reduce vehicle emissions in relation to elimination of toll plaza stops.</w:t>
            </w:r>
          </w:p>
        </w:tc>
        <w:tc>
          <w:tcPr>
            <w:tcW w:w="0" w:type="auto"/>
            <w:shd w:val="pct20" w:color="FFFF00" w:fill="FFFFFF"/>
            <w:vAlign w:val="center"/>
          </w:tcPr>
          <w:p w:rsidR="00C63EC3" w:rsidRPr="004A470E" w:rsidRDefault="00C874D2" w:rsidP="00782197">
            <w:pPr>
              <w:pStyle w:val="BodyText"/>
            </w:pPr>
            <w:r w:rsidRPr="004A470E">
              <w:t xml:space="preserve">Small increase in vehicle emissions for </w:t>
            </w:r>
            <w:r w:rsidR="00253C8C" w:rsidRPr="004A470E">
              <w:t xml:space="preserve">possible </w:t>
            </w:r>
            <w:r w:rsidRPr="004A470E">
              <w:t>rolling enforcement vs. standing enforcement</w:t>
            </w:r>
            <w:r w:rsidR="00A73DCA" w:rsidRPr="004A470E">
              <w:t>.</w:t>
            </w:r>
          </w:p>
        </w:tc>
        <w:tc>
          <w:tcPr>
            <w:tcW w:w="0" w:type="auto"/>
            <w:shd w:val="pct20" w:color="FFFF00" w:fill="FFFFFF"/>
            <w:vAlign w:val="center"/>
          </w:tcPr>
          <w:p w:rsidR="00C63EC3" w:rsidRPr="004A470E" w:rsidRDefault="00187913" w:rsidP="00782197">
            <w:pPr>
              <w:pStyle w:val="BodyText"/>
            </w:pPr>
            <w:r w:rsidRPr="004A470E">
              <w:t>Reduce energy used for toll plaza equipment, lighting, heating, and air conditioning.</w:t>
            </w:r>
          </w:p>
        </w:tc>
      </w:tr>
      <w:tr w:rsidR="004C6328" w:rsidRPr="004A470E" w:rsidTr="002571C1">
        <w:trPr>
          <w:trHeight w:val="567"/>
          <w:jc w:val="center"/>
        </w:trPr>
        <w:tc>
          <w:tcPr>
            <w:tcW w:w="0" w:type="auto"/>
            <w:shd w:val="pct20" w:color="FFFF00" w:fill="FFFFFF"/>
            <w:vAlign w:val="center"/>
          </w:tcPr>
          <w:p w:rsidR="004C6328" w:rsidRPr="004A470E" w:rsidRDefault="004C6328" w:rsidP="00D91987">
            <w:pPr>
              <w:pStyle w:val="BodyText"/>
              <w:jc w:val="center"/>
              <w:rPr>
                <w:b/>
                <w:bCs/>
                <w:i/>
                <w:iCs/>
              </w:rPr>
            </w:pPr>
            <w:r w:rsidRPr="004A470E">
              <w:rPr>
                <w:b/>
                <w:bCs/>
                <w:i/>
                <w:iCs/>
              </w:rPr>
              <w:t>National / Local Security</w:t>
            </w:r>
          </w:p>
        </w:tc>
        <w:tc>
          <w:tcPr>
            <w:tcW w:w="0" w:type="auto"/>
            <w:gridSpan w:val="3"/>
            <w:shd w:val="pct20" w:color="FFFF00" w:fill="FFFFFF"/>
            <w:vAlign w:val="center"/>
          </w:tcPr>
          <w:p w:rsidR="004C6328" w:rsidRPr="004A470E" w:rsidRDefault="004C6328" w:rsidP="00D91987">
            <w:pPr>
              <w:pStyle w:val="BodyText"/>
              <w:jc w:val="center"/>
            </w:pPr>
            <w:r w:rsidRPr="004A470E">
              <w:t>Increased capability for automatic notification of vehicles on “watch lists”.</w:t>
            </w:r>
          </w:p>
        </w:tc>
      </w:tr>
      <w:tr w:rsidR="00C874D2" w:rsidRPr="004A470E" w:rsidTr="002571C1">
        <w:trPr>
          <w:jc w:val="center"/>
        </w:trPr>
        <w:tc>
          <w:tcPr>
            <w:tcW w:w="0" w:type="auto"/>
            <w:shd w:val="pct20" w:color="FFFF00" w:fill="FFFFFF"/>
            <w:vAlign w:val="center"/>
          </w:tcPr>
          <w:p w:rsidR="00C874D2" w:rsidRPr="004A470E" w:rsidRDefault="00C874D2" w:rsidP="00D91987">
            <w:pPr>
              <w:pStyle w:val="BodyText"/>
              <w:jc w:val="center"/>
              <w:rPr>
                <w:b/>
                <w:bCs/>
                <w:i/>
                <w:iCs/>
              </w:rPr>
            </w:pPr>
            <w:r w:rsidRPr="004A470E">
              <w:rPr>
                <w:b/>
                <w:bCs/>
                <w:i/>
                <w:iCs/>
              </w:rPr>
              <w:t>Land Use &amp; Infrastructure</w:t>
            </w:r>
          </w:p>
        </w:tc>
        <w:tc>
          <w:tcPr>
            <w:tcW w:w="0" w:type="auto"/>
            <w:shd w:val="pct20" w:color="FFFF00" w:fill="FFFFFF"/>
            <w:vAlign w:val="center"/>
          </w:tcPr>
          <w:p w:rsidR="00C874D2" w:rsidRPr="004A470E" w:rsidRDefault="00C874D2" w:rsidP="00782197">
            <w:pPr>
              <w:pStyle w:val="BodyText"/>
            </w:pPr>
            <w:r w:rsidRPr="004A470E">
              <w:t>Not applicable.</w:t>
            </w:r>
          </w:p>
        </w:tc>
        <w:tc>
          <w:tcPr>
            <w:tcW w:w="0" w:type="auto"/>
            <w:shd w:val="pct20" w:color="FFFF00" w:fill="FFFFFF"/>
            <w:vAlign w:val="center"/>
          </w:tcPr>
          <w:p w:rsidR="00C874D2" w:rsidRPr="004A470E" w:rsidRDefault="00782197" w:rsidP="00782197">
            <w:pPr>
              <w:pStyle w:val="BodyText"/>
            </w:pPr>
            <w:r w:rsidRPr="004A470E">
              <w:t>Significantly less equipment</w:t>
            </w:r>
            <w:r w:rsidR="00C874D2" w:rsidRPr="004A470E">
              <w:t xml:space="preserve"> </w:t>
            </w:r>
            <w:r w:rsidRPr="004A470E">
              <w:t>maintenance:</w:t>
            </w:r>
          </w:p>
          <w:p w:rsidR="00782197" w:rsidRPr="004A470E" w:rsidRDefault="00782197" w:rsidP="00D91987">
            <w:pPr>
              <w:pStyle w:val="BodyText"/>
              <w:numPr>
                <w:ilvl w:val="0"/>
                <w:numId w:val="11"/>
              </w:numPr>
            </w:pPr>
            <w:r w:rsidRPr="004A470E">
              <w:t>Less equipment</w:t>
            </w:r>
            <w:r w:rsidR="00555413" w:rsidRPr="004A470E">
              <w:t xml:space="preserve"> overall;</w:t>
            </w:r>
          </w:p>
          <w:p w:rsidR="00782197" w:rsidRPr="004A470E" w:rsidRDefault="00555413" w:rsidP="00D91987">
            <w:pPr>
              <w:pStyle w:val="BodyText"/>
              <w:numPr>
                <w:ilvl w:val="0"/>
                <w:numId w:val="11"/>
              </w:numPr>
            </w:pPr>
            <w:r w:rsidRPr="004A470E">
              <w:t>Required equipment subject to l</w:t>
            </w:r>
            <w:r w:rsidR="00782197" w:rsidRPr="004A470E">
              <w:t>ess vehicle, weather, &amp; personnel damage</w:t>
            </w:r>
            <w:r w:rsidRPr="004A470E">
              <w:t>.</w:t>
            </w:r>
            <w:r w:rsidR="00782197" w:rsidRPr="004A470E">
              <w:t xml:space="preserve"> </w:t>
            </w:r>
          </w:p>
        </w:tc>
        <w:tc>
          <w:tcPr>
            <w:tcW w:w="0" w:type="auto"/>
            <w:shd w:val="pct20" w:color="FFFF00" w:fill="FFFFFF"/>
            <w:vAlign w:val="center"/>
          </w:tcPr>
          <w:p w:rsidR="00C874D2" w:rsidRPr="004A470E" w:rsidRDefault="00782197" w:rsidP="00782197">
            <w:pPr>
              <w:pStyle w:val="BodyText"/>
            </w:pPr>
            <w:r w:rsidRPr="004A470E">
              <w:t>Roadway requires redesign for continuous operation.</w:t>
            </w:r>
          </w:p>
          <w:p w:rsidR="00782197" w:rsidRPr="004A470E" w:rsidRDefault="00782197" w:rsidP="00782197">
            <w:pPr>
              <w:pStyle w:val="BodyText"/>
            </w:pPr>
            <w:r w:rsidRPr="004A470E">
              <w:t>Land may be available for re-development.</w:t>
            </w:r>
          </w:p>
          <w:p w:rsidR="00782197" w:rsidRPr="004A470E" w:rsidRDefault="00782197" w:rsidP="00782197">
            <w:pPr>
              <w:pStyle w:val="BodyText"/>
            </w:pPr>
            <w:r w:rsidRPr="004A470E">
              <w:t>Disposal required for existing equipment,</w:t>
            </w:r>
            <w:r w:rsidR="00B63FA1" w:rsidRPr="004A470E">
              <w:t xml:space="preserve"> cabling,</w:t>
            </w:r>
            <w:r w:rsidRPr="004A470E">
              <w:t xml:space="preserve"> </w:t>
            </w:r>
            <w:r w:rsidR="00B63FA1" w:rsidRPr="004A470E">
              <w:t>booths, pavement, etc.</w:t>
            </w:r>
          </w:p>
        </w:tc>
      </w:tr>
      <w:tr w:rsidR="00064B18" w:rsidRPr="004A470E" w:rsidTr="002571C1">
        <w:trPr>
          <w:trHeight w:val="567"/>
          <w:jc w:val="center"/>
        </w:trPr>
        <w:tc>
          <w:tcPr>
            <w:tcW w:w="0" w:type="auto"/>
            <w:shd w:val="pct20" w:color="FFFF00" w:fill="FFFFFF"/>
            <w:vAlign w:val="center"/>
          </w:tcPr>
          <w:p w:rsidR="00064B18" w:rsidRPr="004A470E" w:rsidRDefault="00064B18" w:rsidP="00D91987">
            <w:pPr>
              <w:pStyle w:val="BodyText"/>
              <w:jc w:val="center"/>
              <w:rPr>
                <w:b/>
                <w:bCs/>
                <w:i/>
                <w:iCs/>
              </w:rPr>
            </w:pPr>
            <w:r w:rsidRPr="004A470E">
              <w:rPr>
                <w:b/>
                <w:bCs/>
                <w:i/>
                <w:iCs/>
              </w:rPr>
              <w:t xml:space="preserve">Customer </w:t>
            </w:r>
            <w:r w:rsidR="00555413" w:rsidRPr="004A470E">
              <w:rPr>
                <w:b/>
                <w:bCs/>
                <w:i/>
                <w:iCs/>
              </w:rPr>
              <w:t>Types</w:t>
            </w:r>
          </w:p>
        </w:tc>
        <w:tc>
          <w:tcPr>
            <w:tcW w:w="0" w:type="auto"/>
            <w:gridSpan w:val="3"/>
            <w:shd w:val="pct20" w:color="FFFF00" w:fill="FFFFFF"/>
            <w:vAlign w:val="center"/>
          </w:tcPr>
          <w:p w:rsidR="00064B18" w:rsidRPr="004A470E" w:rsidRDefault="00064B18" w:rsidP="00D91987">
            <w:pPr>
              <w:pStyle w:val="BodyText"/>
              <w:jc w:val="center"/>
            </w:pPr>
            <w:r w:rsidRPr="004A470E">
              <w:t>No violators – Just customers with different payment strategies!</w:t>
            </w:r>
          </w:p>
        </w:tc>
      </w:tr>
      <w:tr w:rsidR="005E26B7" w:rsidRPr="004A470E" w:rsidTr="002571C1">
        <w:trPr>
          <w:cantSplit/>
          <w:jc w:val="center"/>
        </w:trPr>
        <w:tc>
          <w:tcPr>
            <w:tcW w:w="0" w:type="auto"/>
            <w:shd w:val="pct20" w:color="FFFF00" w:fill="FFFFFF"/>
            <w:vAlign w:val="center"/>
          </w:tcPr>
          <w:p w:rsidR="005E26B7" w:rsidRPr="004A470E" w:rsidRDefault="00D76F5F" w:rsidP="00D91987">
            <w:pPr>
              <w:pStyle w:val="BodyText"/>
              <w:jc w:val="center"/>
              <w:rPr>
                <w:b/>
                <w:bCs/>
                <w:i/>
                <w:iCs/>
              </w:rPr>
            </w:pPr>
            <w:r w:rsidRPr="004A470E">
              <w:rPr>
                <w:b/>
                <w:bCs/>
                <w:i/>
                <w:iCs/>
              </w:rPr>
              <w:lastRenderedPageBreak/>
              <w:t>Customer Relations</w:t>
            </w:r>
          </w:p>
        </w:tc>
        <w:tc>
          <w:tcPr>
            <w:tcW w:w="0" w:type="auto"/>
            <w:shd w:val="pct20" w:color="FFFF00" w:fill="FFFFFF"/>
            <w:vAlign w:val="center"/>
          </w:tcPr>
          <w:p w:rsidR="005E26B7" w:rsidRPr="004A470E" w:rsidRDefault="00D76F5F" w:rsidP="00782197">
            <w:pPr>
              <w:pStyle w:val="BodyText"/>
            </w:pPr>
            <w:r w:rsidRPr="004A470E">
              <w:t>Loss of toll collector contact for local information.</w:t>
            </w:r>
          </w:p>
          <w:p w:rsidR="000F59AF" w:rsidRPr="004A470E" w:rsidRDefault="000F59AF" w:rsidP="00782197">
            <w:pPr>
              <w:pStyle w:val="BodyText"/>
            </w:pPr>
            <w:r w:rsidRPr="004A470E">
              <w:t>Payment difficulties for “un-banked” customers.</w:t>
            </w:r>
          </w:p>
        </w:tc>
        <w:tc>
          <w:tcPr>
            <w:tcW w:w="0" w:type="auto"/>
            <w:shd w:val="pct20" w:color="FFFF00" w:fill="FFFFFF"/>
            <w:vAlign w:val="center"/>
          </w:tcPr>
          <w:p w:rsidR="005E26B7" w:rsidRPr="004A470E" w:rsidRDefault="00D76F5F" w:rsidP="00782197">
            <w:pPr>
              <w:pStyle w:val="BodyText"/>
            </w:pPr>
            <w:r w:rsidRPr="004A470E">
              <w:t xml:space="preserve">Loss of </w:t>
            </w:r>
            <w:r w:rsidR="00B63FA1" w:rsidRPr="004A470E">
              <w:t xml:space="preserve">most </w:t>
            </w:r>
            <w:r w:rsidRPr="004A470E">
              <w:t>i</w:t>
            </w:r>
            <w:r w:rsidR="002C4FA2" w:rsidRPr="004A470E">
              <w:t>n</w:t>
            </w:r>
            <w:r w:rsidRPr="004A470E">
              <w:t>-person customer contac</w:t>
            </w:r>
            <w:r w:rsidR="002C4FA2" w:rsidRPr="004A470E">
              <w:t>t</w:t>
            </w:r>
            <w:r w:rsidR="00B63FA1" w:rsidRPr="004A470E">
              <w:t>.</w:t>
            </w:r>
          </w:p>
          <w:p w:rsidR="00D83AFF" w:rsidRPr="004A470E" w:rsidRDefault="00D83AFF" w:rsidP="00782197">
            <w:pPr>
              <w:pStyle w:val="BodyText"/>
            </w:pPr>
            <w:r w:rsidRPr="004A470E">
              <w:t xml:space="preserve">Increased knowledge of customers due to LPR </w:t>
            </w:r>
            <w:r w:rsidR="00253C8C" w:rsidRPr="004A470E">
              <w:t>in place of cash</w:t>
            </w:r>
            <w:r w:rsidRPr="004A470E">
              <w:t>.</w:t>
            </w:r>
          </w:p>
          <w:p w:rsidR="00D83AFF" w:rsidRPr="004A470E" w:rsidRDefault="00D83AFF" w:rsidP="00782197">
            <w:pPr>
              <w:pStyle w:val="BodyText"/>
            </w:pPr>
            <w:r w:rsidRPr="004A470E">
              <w:t>Monthly contact with most customers via statement / invoice allows for increased information dissemination.</w:t>
            </w:r>
          </w:p>
        </w:tc>
        <w:tc>
          <w:tcPr>
            <w:tcW w:w="0" w:type="auto"/>
            <w:shd w:val="pct20" w:color="FFFF00" w:fill="FFFFFF"/>
            <w:vAlign w:val="center"/>
          </w:tcPr>
          <w:p w:rsidR="005E26B7" w:rsidRPr="004A470E" w:rsidRDefault="00D83AFF" w:rsidP="00782197">
            <w:pPr>
              <w:pStyle w:val="BodyText"/>
            </w:pPr>
            <w:r w:rsidRPr="004A470E">
              <w:t>Expanded opportunities for marketing due to increased customer information.</w:t>
            </w:r>
          </w:p>
        </w:tc>
      </w:tr>
      <w:tr w:rsidR="00555413" w:rsidRPr="004A470E" w:rsidTr="002571C1">
        <w:trPr>
          <w:cantSplit/>
          <w:jc w:val="center"/>
        </w:trPr>
        <w:tc>
          <w:tcPr>
            <w:tcW w:w="0" w:type="auto"/>
            <w:shd w:val="pct20" w:color="FFFF00" w:fill="FFFFFF"/>
            <w:vAlign w:val="center"/>
          </w:tcPr>
          <w:p w:rsidR="00555413" w:rsidRPr="004A470E" w:rsidRDefault="00555413" w:rsidP="00D91987">
            <w:pPr>
              <w:pStyle w:val="BodyText"/>
              <w:jc w:val="center"/>
              <w:rPr>
                <w:b/>
                <w:bCs/>
                <w:i/>
                <w:iCs/>
              </w:rPr>
            </w:pPr>
            <w:r w:rsidRPr="004A470E">
              <w:rPr>
                <w:b/>
                <w:bCs/>
                <w:i/>
                <w:iCs/>
              </w:rPr>
              <w:t>Customer Privacy</w:t>
            </w:r>
          </w:p>
        </w:tc>
        <w:tc>
          <w:tcPr>
            <w:tcW w:w="0" w:type="auto"/>
            <w:shd w:val="pct20" w:color="FFFF00" w:fill="FFFFFF"/>
            <w:vAlign w:val="center"/>
          </w:tcPr>
          <w:p w:rsidR="00555413" w:rsidRPr="004A470E" w:rsidRDefault="00555413" w:rsidP="000F59AF">
            <w:pPr>
              <w:pStyle w:val="BodyText"/>
            </w:pPr>
            <w:r w:rsidRPr="004A470E">
              <w:t>Elimination of anonymous cash payment.</w:t>
            </w:r>
          </w:p>
        </w:tc>
        <w:tc>
          <w:tcPr>
            <w:tcW w:w="0" w:type="auto"/>
            <w:shd w:val="pct20" w:color="FFFF00" w:fill="FFFFFF"/>
            <w:vAlign w:val="center"/>
          </w:tcPr>
          <w:p w:rsidR="00555413" w:rsidRPr="004A470E" w:rsidRDefault="008D317F" w:rsidP="000F59AF">
            <w:pPr>
              <w:pStyle w:val="BodyText"/>
            </w:pPr>
            <w:r w:rsidRPr="004A470E">
              <w:t>Quality rear &amp; front vehicle / plate images required.</w:t>
            </w:r>
          </w:p>
          <w:p w:rsidR="008D317F" w:rsidRPr="004A470E" w:rsidRDefault="008D317F" w:rsidP="000F59AF">
            <w:pPr>
              <w:pStyle w:val="BodyText"/>
            </w:pPr>
            <w:r w:rsidRPr="004A470E">
              <w:t>Possible increase in desire for anonymous tag accounts.</w:t>
            </w:r>
          </w:p>
        </w:tc>
        <w:tc>
          <w:tcPr>
            <w:tcW w:w="0" w:type="auto"/>
            <w:shd w:val="pct20" w:color="FFFF00" w:fill="FFFFFF"/>
            <w:vAlign w:val="center"/>
          </w:tcPr>
          <w:p w:rsidR="00555413" w:rsidRPr="004A470E" w:rsidRDefault="008D317F" w:rsidP="000F59AF">
            <w:pPr>
              <w:pStyle w:val="BodyText"/>
            </w:pPr>
            <w:r w:rsidRPr="004A470E">
              <w:t>Significant requirement for secure &amp; private customer data management practices.</w:t>
            </w:r>
          </w:p>
        </w:tc>
      </w:tr>
      <w:tr w:rsidR="00F3075C" w:rsidRPr="004A470E" w:rsidTr="002571C1">
        <w:trPr>
          <w:cantSplit/>
          <w:jc w:val="center"/>
        </w:trPr>
        <w:tc>
          <w:tcPr>
            <w:tcW w:w="0" w:type="auto"/>
            <w:shd w:val="pct20" w:color="FFFF00" w:fill="FFFFFF"/>
            <w:vAlign w:val="center"/>
          </w:tcPr>
          <w:p w:rsidR="00F3075C" w:rsidRPr="004A470E" w:rsidRDefault="00F3075C" w:rsidP="00D91987">
            <w:pPr>
              <w:pStyle w:val="BodyText"/>
              <w:jc w:val="center"/>
              <w:rPr>
                <w:b/>
                <w:bCs/>
                <w:i/>
                <w:iCs/>
              </w:rPr>
            </w:pPr>
            <w:r w:rsidRPr="004A470E">
              <w:rPr>
                <w:b/>
                <w:bCs/>
                <w:i/>
                <w:iCs/>
              </w:rPr>
              <w:t>Toll Payment</w:t>
            </w:r>
          </w:p>
        </w:tc>
        <w:tc>
          <w:tcPr>
            <w:tcW w:w="0" w:type="auto"/>
            <w:gridSpan w:val="3"/>
            <w:shd w:val="pct20" w:color="FFFF00" w:fill="FFFFFF"/>
            <w:vAlign w:val="center"/>
          </w:tcPr>
          <w:p w:rsidR="004A49ED" w:rsidRPr="004A470E" w:rsidRDefault="004A49ED" w:rsidP="000F59AF">
            <w:pPr>
              <w:pStyle w:val="BodyText"/>
            </w:pPr>
            <w:r w:rsidRPr="004A470E">
              <w:t>No opportunity to stop for direct payment.</w:t>
            </w:r>
          </w:p>
          <w:p w:rsidR="00FC75F1" w:rsidRPr="004A470E" w:rsidRDefault="00FC75F1" w:rsidP="00FC75F1">
            <w:pPr>
              <w:pStyle w:val="BodyText"/>
            </w:pPr>
            <w:r w:rsidRPr="004A470E">
              <w:t xml:space="preserve">Typical payment options include: </w:t>
            </w:r>
            <w:r w:rsidR="000F59AF" w:rsidRPr="004A470E">
              <w:br/>
              <w:t xml:space="preserve">- </w:t>
            </w:r>
            <w:r w:rsidR="00F3075C" w:rsidRPr="004A470E">
              <w:t xml:space="preserve">Pre-registered, pre-paid </w:t>
            </w:r>
            <w:r w:rsidRPr="004A470E">
              <w:t>transponder account;</w:t>
            </w:r>
            <w:r w:rsidR="004A470E">
              <w:t xml:space="preserve"> </w:t>
            </w:r>
            <w:r w:rsidRPr="004A470E">
              <w:br/>
              <w:t>- Pre-registered, post-billed transponder account;</w:t>
            </w:r>
            <w:r w:rsidR="004A470E">
              <w:t xml:space="preserve"> </w:t>
            </w:r>
            <w:r w:rsidR="00752DBC" w:rsidRPr="004A470E">
              <w:br/>
            </w:r>
            <w:r w:rsidR="000F59AF" w:rsidRPr="004A470E">
              <w:t xml:space="preserve">- </w:t>
            </w:r>
            <w:r w:rsidRPr="004A470E">
              <w:t>Post-registered, post-billed</w:t>
            </w:r>
            <w:r w:rsidR="00F3075C" w:rsidRPr="004A470E">
              <w:t xml:space="preserve"> </w:t>
            </w:r>
            <w:r w:rsidR="00253C8C" w:rsidRPr="004A470E">
              <w:t>image</w:t>
            </w:r>
            <w:r w:rsidR="004A470E">
              <w:t xml:space="preserve"> (video)</w:t>
            </w:r>
            <w:r w:rsidR="00F3075C" w:rsidRPr="004A470E">
              <w:t xml:space="preserve"> account.</w:t>
            </w:r>
          </w:p>
          <w:p w:rsidR="00176D89" w:rsidRPr="004A470E" w:rsidRDefault="00FC75F1" w:rsidP="004A470E">
            <w:pPr>
              <w:pStyle w:val="BodyText"/>
            </w:pPr>
            <w:r w:rsidRPr="004A470E">
              <w:t>Other payment options may include</w:t>
            </w:r>
            <w:r w:rsidR="00D24068" w:rsidRPr="004A470E">
              <w:t xml:space="preserve">: </w:t>
            </w:r>
            <w:r w:rsidR="00752DBC" w:rsidRPr="004A470E">
              <w:br/>
            </w:r>
            <w:r w:rsidR="000F59AF" w:rsidRPr="004A470E">
              <w:t>-</w:t>
            </w:r>
            <w:r w:rsidRPr="004A470E">
              <w:t xml:space="preserve"> </w:t>
            </w:r>
            <w:r w:rsidR="004A470E" w:rsidRPr="004A470E">
              <w:t xml:space="preserve">Pre-registered, pre-paid </w:t>
            </w:r>
            <w:r w:rsidR="004A470E">
              <w:t>image</w:t>
            </w:r>
            <w:r w:rsidR="004A470E" w:rsidRPr="004A470E">
              <w:t xml:space="preserve"> account;</w:t>
            </w:r>
            <w:r w:rsidR="004A470E">
              <w:t xml:space="preserve"> </w:t>
            </w:r>
            <w:r w:rsidR="004A470E">
              <w:br/>
              <w:t xml:space="preserve">- </w:t>
            </w:r>
            <w:r w:rsidRPr="004A470E">
              <w:t>Pre-registered, pre-paid, single trip image charge;</w:t>
            </w:r>
            <w:r w:rsidR="004A470E">
              <w:t xml:space="preserve"> </w:t>
            </w:r>
            <w:r w:rsidRPr="004A470E">
              <w:br/>
              <w:t xml:space="preserve">- Post-registered, </w:t>
            </w:r>
            <w:r w:rsidR="004A470E">
              <w:t>post-paid</w:t>
            </w:r>
            <w:r w:rsidRPr="004A470E">
              <w:t>, single trip image charge.</w:t>
            </w:r>
          </w:p>
        </w:tc>
      </w:tr>
      <w:tr w:rsidR="000166BE" w:rsidRPr="004A470E" w:rsidTr="002571C1">
        <w:trPr>
          <w:jc w:val="center"/>
        </w:trPr>
        <w:tc>
          <w:tcPr>
            <w:tcW w:w="0" w:type="auto"/>
            <w:shd w:val="pct20" w:color="FFFF00" w:fill="FFFFFF"/>
            <w:vAlign w:val="center"/>
          </w:tcPr>
          <w:p w:rsidR="000166BE" w:rsidRPr="004A470E" w:rsidRDefault="000166BE" w:rsidP="00D91987">
            <w:pPr>
              <w:pStyle w:val="BodyText"/>
              <w:jc w:val="center"/>
              <w:rPr>
                <w:b/>
                <w:bCs/>
                <w:i/>
                <w:iCs/>
              </w:rPr>
            </w:pPr>
            <w:r w:rsidRPr="004A470E">
              <w:rPr>
                <w:b/>
                <w:bCs/>
                <w:i/>
                <w:iCs/>
              </w:rPr>
              <w:t>Toll Rates &amp; Fees</w:t>
            </w:r>
          </w:p>
        </w:tc>
        <w:tc>
          <w:tcPr>
            <w:tcW w:w="0" w:type="auto"/>
            <w:shd w:val="pct20" w:color="FFFF00" w:fill="FFFFFF"/>
            <w:vAlign w:val="center"/>
          </w:tcPr>
          <w:p w:rsidR="000166BE" w:rsidRPr="004A470E" w:rsidRDefault="000166BE" w:rsidP="00B43B23">
            <w:pPr>
              <w:pStyle w:val="BodyText"/>
            </w:pPr>
            <w:r w:rsidRPr="004A470E">
              <w:t xml:space="preserve">Image </w:t>
            </w:r>
            <w:r w:rsidR="002B4046" w:rsidRPr="004A470E">
              <w:t xml:space="preserve">transactions </w:t>
            </w:r>
            <w:r w:rsidRPr="004A470E">
              <w:t xml:space="preserve">typically </w:t>
            </w:r>
            <w:r w:rsidR="002B4046" w:rsidRPr="004A470E">
              <w:t>charged more than</w:t>
            </w:r>
            <w:r w:rsidRPr="004A470E">
              <w:t xml:space="preserve"> </w:t>
            </w:r>
            <w:r w:rsidR="00B43B23">
              <w:t>transponder</w:t>
            </w:r>
            <w:r w:rsidRPr="004A470E">
              <w:t xml:space="preserve"> </w:t>
            </w:r>
            <w:r w:rsidR="002B4046" w:rsidRPr="004A470E">
              <w:t>transactions via the toll rate and/or additional fees</w:t>
            </w:r>
            <w:r w:rsidRPr="004A470E">
              <w:t>.</w:t>
            </w:r>
          </w:p>
        </w:tc>
        <w:tc>
          <w:tcPr>
            <w:tcW w:w="0" w:type="auto"/>
            <w:shd w:val="pct20" w:color="FFFF00" w:fill="FFFFFF"/>
            <w:vAlign w:val="center"/>
          </w:tcPr>
          <w:p w:rsidR="000166BE" w:rsidRPr="004A470E" w:rsidRDefault="000166BE" w:rsidP="000F59AF">
            <w:pPr>
              <w:pStyle w:val="BodyText"/>
            </w:pPr>
            <w:r w:rsidRPr="004A470E">
              <w:t xml:space="preserve">Processes and systems to enable various </w:t>
            </w:r>
            <w:r w:rsidR="002B4046" w:rsidRPr="004A470E">
              <w:t xml:space="preserve">toll </w:t>
            </w:r>
            <w:r w:rsidRPr="004A470E">
              <w:t>rates and fees.</w:t>
            </w:r>
          </w:p>
        </w:tc>
        <w:tc>
          <w:tcPr>
            <w:tcW w:w="0" w:type="auto"/>
            <w:shd w:val="pct20" w:color="FFFF00" w:fill="FFFFFF"/>
            <w:vAlign w:val="center"/>
          </w:tcPr>
          <w:p w:rsidR="000166BE" w:rsidRDefault="000166BE" w:rsidP="000F59AF">
            <w:pPr>
              <w:pStyle w:val="BodyText"/>
            </w:pPr>
            <w:r w:rsidRPr="004A470E">
              <w:t xml:space="preserve">Potential for public challenges to </w:t>
            </w:r>
            <w:r w:rsidR="002B4046" w:rsidRPr="004A470E">
              <w:t xml:space="preserve">image transaction toll </w:t>
            </w:r>
            <w:r w:rsidRPr="004A470E">
              <w:t>rates and fees.</w:t>
            </w:r>
          </w:p>
          <w:p w:rsidR="00B43B23" w:rsidRPr="004A470E" w:rsidRDefault="00B43B23" w:rsidP="000F59AF">
            <w:pPr>
              <w:pStyle w:val="BodyText"/>
            </w:pPr>
            <w:r>
              <w:t>Toll rates do not need to consider coin efficiency – rates can be specific to $0.01. This may facilitate regular increases.</w:t>
            </w:r>
          </w:p>
        </w:tc>
      </w:tr>
      <w:tr w:rsidR="00555413" w:rsidRPr="004A470E" w:rsidTr="002571C1">
        <w:trPr>
          <w:jc w:val="center"/>
        </w:trPr>
        <w:tc>
          <w:tcPr>
            <w:tcW w:w="0" w:type="auto"/>
            <w:shd w:val="pct20" w:color="FFFF00" w:fill="FFFFFF"/>
            <w:vAlign w:val="center"/>
          </w:tcPr>
          <w:p w:rsidR="00555413" w:rsidRPr="004A470E" w:rsidRDefault="00555413" w:rsidP="00D91987">
            <w:pPr>
              <w:pStyle w:val="BodyText"/>
              <w:jc w:val="center"/>
              <w:rPr>
                <w:b/>
                <w:bCs/>
                <w:i/>
                <w:iCs/>
              </w:rPr>
            </w:pPr>
            <w:r w:rsidRPr="004A470E">
              <w:rPr>
                <w:b/>
                <w:bCs/>
                <w:i/>
                <w:iCs/>
              </w:rPr>
              <w:t>Special / Unusual Transactions</w:t>
            </w:r>
          </w:p>
        </w:tc>
        <w:tc>
          <w:tcPr>
            <w:tcW w:w="0" w:type="auto"/>
            <w:gridSpan w:val="3"/>
            <w:shd w:val="pct20" w:color="FFFF00" w:fill="FFFFFF"/>
            <w:vAlign w:val="center"/>
          </w:tcPr>
          <w:p w:rsidR="00555413" w:rsidRPr="004A470E" w:rsidRDefault="000F3B75" w:rsidP="000F3B75">
            <w:pPr>
              <w:pStyle w:val="BodyText"/>
              <w:jc w:val="center"/>
            </w:pPr>
            <w:r w:rsidRPr="004A470E">
              <w:t>Any t</w:t>
            </w:r>
            <w:r w:rsidR="00555413" w:rsidRPr="004A470E">
              <w:t>ransactions presently dependent on in-person contact must be eliminated or a new customer process determined.</w:t>
            </w:r>
          </w:p>
        </w:tc>
      </w:tr>
      <w:tr w:rsidR="008D317F" w:rsidRPr="004A470E" w:rsidTr="002571C1">
        <w:trPr>
          <w:jc w:val="center"/>
        </w:trPr>
        <w:tc>
          <w:tcPr>
            <w:tcW w:w="0" w:type="auto"/>
            <w:shd w:val="pct20" w:color="FFFF00" w:fill="FFFFFF"/>
            <w:vAlign w:val="center"/>
          </w:tcPr>
          <w:p w:rsidR="008D317F" w:rsidRPr="004A470E" w:rsidRDefault="008D317F" w:rsidP="002B4046">
            <w:pPr>
              <w:pStyle w:val="BodyText"/>
              <w:jc w:val="center"/>
              <w:rPr>
                <w:b/>
                <w:bCs/>
                <w:i/>
                <w:iCs/>
              </w:rPr>
            </w:pPr>
            <w:r w:rsidRPr="004A470E">
              <w:rPr>
                <w:b/>
                <w:bCs/>
                <w:i/>
                <w:iCs/>
              </w:rPr>
              <w:t xml:space="preserve">Vehicle </w:t>
            </w:r>
            <w:r w:rsidR="002B4046" w:rsidRPr="004A470E">
              <w:rPr>
                <w:b/>
                <w:bCs/>
                <w:i/>
                <w:iCs/>
              </w:rPr>
              <w:t>Classification</w:t>
            </w:r>
          </w:p>
        </w:tc>
        <w:tc>
          <w:tcPr>
            <w:tcW w:w="0" w:type="auto"/>
            <w:shd w:val="pct20" w:color="FFFF00" w:fill="FFFFFF"/>
            <w:vAlign w:val="center"/>
          </w:tcPr>
          <w:p w:rsidR="008D317F" w:rsidRPr="004A470E" w:rsidRDefault="008D317F" w:rsidP="00782197">
            <w:pPr>
              <w:pStyle w:val="BodyText"/>
            </w:pPr>
            <w:r w:rsidRPr="004A470E">
              <w:t>Not applicable.</w:t>
            </w:r>
          </w:p>
        </w:tc>
        <w:tc>
          <w:tcPr>
            <w:tcW w:w="0" w:type="auto"/>
            <w:shd w:val="pct20" w:color="FFFF00" w:fill="FFFFFF"/>
            <w:vAlign w:val="center"/>
          </w:tcPr>
          <w:p w:rsidR="008D317F" w:rsidRPr="004A470E" w:rsidRDefault="008D317F" w:rsidP="00782197">
            <w:pPr>
              <w:pStyle w:val="BodyText"/>
            </w:pPr>
            <w:r w:rsidRPr="004A470E">
              <w:t>Elimination of toll collector visual classification – AVC much more critical for commercial vehicles.</w:t>
            </w:r>
          </w:p>
        </w:tc>
        <w:tc>
          <w:tcPr>
            <w:tcW w:w="0" w:type="auto"/>
            <w:shd w:val="pct20" w:color="FFFF00" w:fill="FFFFFF"/>
            <w:vAlign w:val="center"/>
          </w:tcPr>
          <w:p w:rsidR="008D317F" w:rsidRPr="004A470E" w:rsidRDefault="000F3B75" w:rsidP="000F3B75">
            <w:pPr>
              <w:pStyle w:val="BodyText"/>
            </w:pPr>
            <w:r w:rsidRPr="004A470E">
              <w:t>Potential i</w:t>
            </w:r>
            <w:r w:rsidR="008D317F" w:rsidRPr="004A470E">
              <w:t xml:space="preserve">ncrease in lost revenue </w:t>
            </w:r>
            <w:r w:rsidRPr="004A470E">
              <w:t xml:space="preserve">or customer complaints </w:t>
            </w:r>
            <w:r w:rsidR="008D317F" w:rsidRPr="004A470E">
              <w:t xml:space="preserve">due to </w:t>
            </w:r>
            <w:r w:rsidRPr="004A470E">
              <w:t>misclassification</w:t>
            </w:r>
            <w:r w:rsidR="008D317F" w:rsidRPr="004A470E">
              <w:t>.</w:t>
            </w:r>
          </w:p>
        </w:tc>
      </w:tr>
      <w:tr w:rsidR="00555413" w:rsidRPr="004A470E" w:rsidTr="002571C1">
        <w:trPr>
          <w:jc w:val="center"/>
        </w:trPr>
        <w:tc>
          <w:tcPr>
            <w:tcW w:w="0" w:type="auto"/>
            <w:shd w:val="pct20" w:color="FFFF00" w:fill="FFFFFF"/>
            <w:vAlign w:val="center"/>
          </w:tcPr>
          <w:p w:rsidR="00555413" w:rsidRPr="004A470E" w:rsidRDefault="00555413" w:rsidP="00D91987">
            <w:pPr>
              <w:pStyle w:val="BodyText"/>
              <w:jc w:val="center"/>
              <w:rPr>
                <w:b/>
                <w:bCs/>
                <w:i/>
                <w:iCs/>
              </w:rPr>
            </w:pPr>
            <w:r w:rsidRPr="004A470E">
              <w:rPr>
                <w:b/>
                <w:bCs/>
                <w:i/>
                <w:iCs/>
              </w:rPr>
              <w:lastRenderedPageBreak/>
              <w:t>Personnel</w:t>
            </w:r>
          </w:p>
        </w:tc>
        <w:tc>
          <w:tcPr>
            <w:tcW w:w="0" w:type="auto"/>
            <w:shd w:val="pct20" w:color="FFFF00" w:fill="FFFFFF"/>
            <w:vAlign w:val="center"/>
          </w:tcPr>
          <w:p w:rsidR="00555413" w:rsidRPr="004A470E" w:rsidRDefault="00555413" w:rsidP="00782197">
            <w:pPr>
              <w:pStyle w:val="BodyText"/>
            </w:pPr>
            <w:r w:rsidRPr="004A470E">
              <w:t>Not Applicable.</w:t>
            </w:r>
          </w:p>
        </w:tc>
        <w:tc>
          <w:tcPr>
            <w:tcW w:w="0" w:type="auto"/>
            <w:shd w:val="pct20" w:color="FFFF00" w:fill="FFFFFF"/>
            <w:vAlign w:val="center"/>
          </w:tcPr>
          <w:p w:rsidR="00555413" w:rsidRPr="004A470E" w:rsidRDefault="00555413" w:rsidP="00782197">
            <w:pPr>
              <w:pStyle w:val="BodyText"/>
            </w:pPr>
            <w:r w:rsidRPr="004A470E">
              <w:t>Eliminate toll collectors and other lane specific jobs.</w:t>
            </w:r>
          </w:p>
          <w:p w:rsidR="00555413" w:rsidRPr="004A470E" w:rsidRDefault="00555413" w:rsidP="000F3B75">
            <w:pPr>
              <w:pStyle w:val="BodyText"/>
            </w:pPr>
            <w:r w:rsidRPr="004A470E">
              <w:t xml:space="preserve">Increase customer service and </w:t>
            </w:r>
            <w:r w:rsidR="000F3B75" w:rsidRPr="004A470E">
              <w:t>image</w:t>
            </w:r>
            <w:r w:rsidRPr="004A470E">
              <w:t xml:space="preserve"> process jobs.</w:t>
            </w:r>
          </w:p>
        </w:tc>
        <w:tc>
          <w:tcPr>
            <w:tcW w:w="0" w:type="auto"/>
            <w:shd w:val="pct20" w:color="FFFF00" w:fill="FFFFFF"/>
            <w:vAlign w:val="center"/>
          </w:tcPr>
          <w:p w:rsidR="00555413" w:rsidRPr="004A470E" w:rsidRDefault="00555413" w:rsidP="00782197">
            <w:pPr>
              <w:pStyle w:val="BodyText"/>
            </w:pPr>
            <w:r w:rsidRPr="004A470E">
              <w:t>Restructuring organization.</w:t>
            </w:r>
          </w:p>
          <w:p w:rsidR="00555413" w:rsidRPr="004A470E" w:rsidRDefault="00555413" w:rsidP="00782197">
            <w:pPr>
              <w:pStyle w:val="BodyText"/>
            </w:pPr>
            <w:r w:rsidRPr="004A470E">
              <w:t>Personnel retraining.</w:t>
            </w:r>
          </w:p>
          <w:p w:rsidR="00555413" w:rsidRPr="004A470E" w:rsidRDefault="00555413" w:rsidP="00782197">
            <w:pPr>
              <w:pStyle w:val="BodyText"/>
            </w:pPr>
            <w:r w:rsidRPr="004A470E">
              <w:t xml:space="preserve">Personnel layoffs. </w:t>
            </w:r>
          </w:p>
        </w:tc>
      </w:tr>
      <w:tr w:rsidR="00555413" w:rsidRPr="004A470E" w:rsidTr="002571C1">
        <w:trPr>
          <w:cantSplit/>
          <w:jc w:val="center"/>
        </w:trPr>
        <w:tc>
          <w:tcPr>
            <w:tcW w:w="0" w:type="auto"/>
            <w:shd w:val="pct20" w:color="FFFF00" w:fill="FFFFFF"/>
            <w:vAlign w:val="center"/>
          </w:tcPr>
          <w:p w:rsidR="00555413" w:rsidRPr="004A470E" w:rsidRDefault="00555413" w:rsidP="00D91987">
            <w:pPr>
              <w:pStyle w:val="BodyText"/>
              <w:jc w:val="center"/>
              <w:rPr>
                <w:b/>
                <w:bCs/>
                <w:i/>
                <w:iCs/>
              </w:rPr>
            </w:pPr>
            <w:r w:rsidRPr="004A470E">
              <w:rPr>
                <w:b/>
                <w:bCs/>
                <w:i/>
                <w:iCs/>
              </w:rPr>
              <w:t>Cash Handling</w:t>
            </w:r>
          </w:p>
        </w:tc>
        <w:tc>
          <w:tcPr>
            <w:tcW w:w="0" w:type="auto"/>
            <w:shd w:val="pct20" w:color="FFFF00" w:fill="FFFFFF"/>
            <w:vAlign w:val="center"/>
          </w:tcPr>
          <w:p w:rsidR="00555413" w:rsidRPr="004A470E" w:rsidRDefault="00555413" w:rsidP="00782197">
            <w:pPr>
              <w:pStyle w:val="BodyText"/>
            </w:pPr>
            <w:r w:rsidRPr="004A470E">
              <w:t>Eliminate search for toll specific funds while in vehicle.</w:t>
            </w:r>
          </w:p>
        </w:tc>
        <w:tc>
          <w:tcPr>
            <w:tcW w:w="0" w:type="auto"/>
            <w:shd w:val="pct20" w:color="FFFF00" w:fill="FFFFFF"/>
            <w:vAlign w:val="center"/>
          </w:tcPr>
          <w:p w:rsidR="00555413" w:rsidRPr="004A470E" w:rsidRDefault="00555413" w:rsidP="00782197">
            <w:pPr>
              <w:pStyle w:val="BodyText"/>
            </w:pPr>
            <w:r w:rsidRPr="004A470E">
              <w:t>Significantly reduce physical currency handling (some is still required for walk-in customer service facilities).</w:t>
            </w:r>
          </w:p>
        </w:tc>
        <w:tc>
          <w:tcPr>
            <w:tcW w:w="0" w:type="auto"/>
            <w:shd w:val="pct20" w:color="FFFF00" w:fill="FFFFFF"/>
            <w:vAlign w:val="center"/>
          </w:tcPr>
          <w:p w:rsidR="00555413" w:rsidRPr="004A470E" w:rsidRDefault="000F3B75" w:rsidP="00782197">
            <w:pPr>
              <w:pStyle w:val="BodyText"/>
            </w:pPr>
            <w:r w:rsidRPr="004A470E">
              <w:t>Reduced cost</w:t>
            </w:r>
            <w:r w:rsidR="00555413" w:rsidRPr="004A470E">
              <w:t>.</w:t>
            </w:r>
          </w:p>
        </w:tc>
      </w:tr>
      <w:tr w:rsidR="000F3B75" w:rsidRPr="004A470E" w:rsidTr="002571C1">
        <w:trPr>
          <w:cantSplit/>
          <w:jc w:val="center"/>
        </w:trPr>
        <w:tc>
          <w:tcPr>
            <w:tcW w:w="0" w:type="auto"/>
            <w:shd w:val="pct20" w:color="FFFF00" w:fill="FFFFFF"/>
            <w:vAlign w:val="center"/>
          </w:tcPr>
          <w:p w:rsidR="000F3B75" w:rsidRPr="004A470E" w:rsidRDefault="000F3B75" w:rsidP="00D91987">
            <w:pPr>
              <w:pStyle w:val="BodyText"/>
              <w:jc w:val="center"/>
              <w:rPr>
                <w:b/>
                <w:bCs/>
                <w:i/>
                <w:iCs/>
              </w:rPr>
            </w:pPr>
            <w:r w:rsidRPr="004A470E">
              <w:rPr>
                <w:b/>
                <w:bCs/>
                <w:i/>
                <w:iCs/>
              </w:rPr>
              <w:t>Cash Flow / Financial Processes</w:t>
            </w:r>
          </w:p>
        </w:tc>
        <w:tc>
          <w:tcPr>
            <w:tcW w:w="0" w:type="auto"/>
            <w:shd w:val="pct20" w:color="FFFF00" w:fill="FFFFFF"/>
            <w:vAlign w:val="center"/>
          </w:tcPr>
          <w:p w:rsidR="000F3B75" w:rsidRPr="004A470E" w:rsidRDefault="000F3B75" w:rsidP="00782197">
            <w:pPr>
              <w:pStyle w:val="BodyText"/>
            </w:pPr>
            <w:r w:rsidRPr="004A470E">
              <w:t>Not Applicable.</w:t>
            </w:r>
          </w:p>
        </w:tc>
        <w:tc>
          <w:tcPr>
            <w:tcW w:w="0" w:type="auto"/>
            <w:gridSpan w:val="2"/>
            <w:shd w:val="pct20" w:color="FFFF00" w:fill="FFFFFF"/>
            <w:vAlign w:val="center"/>
          </w:tcPr>
          <w:p w:rsidR="000F3B75" w:rsidRPr="004A470E" w:rsidRDefault="000F3B75" w:rsidP="000F3B75">
            <w:pPr>
              <w:pStyle w:val="BodyText"/>
            </w:pPr>
            <w:r w:rsidRPr="004A470E">
              <w:t xml:space="preserve">Deferral of substantial toll revenue from direct cash payment to post-billed invoices. </w:t>
            </w:r>
            <w:r w:rsidR="000166BE" w:rsidRPr="004A470E">
              <w:t xml:space="preserve">These must be recorded and tracked as aged receivables. Customer payment must be mapped to </w:t>
            </w:r>
            <w:r w:rsidR="0082284B">
              <w:t>accounts</w:t>
            </w:r>
            <w:r w:rsidR="000166BE" w:rsidRPr="004A470E">
              <w:t>.</w:t>
            </w:r>
          </w:p>
          <w:p w:rsidR="000F3B75" w:rsidRPr="004A470E" w:rsidRDefault="000F3B75" w:rsidP="009F3238">
            <w:pPr>
              <w:pStyle w:val="BodyText"/>
            </w:pPr>
            <w:r w:rsidRPr="004A470E">
              <w:t xml:space="preserve">Increase in revenue from </w:t>
            </w:r>
            <w:r w:rsidR="009F3238" w:rsidRPr="004A470E">
              <w:t>image</w:t>
            </w:r>
            <w:r w:rsidRPr="004A470E">
              <w:t xml:space="preserve"> surcharges and penalties</w:t>
            </w:r>
            <w:r w:rsidR="009F3238" w:rsidRPr="004A470E">
              <w:t>.</w:t>
            </w:r>
          </w:p>
          <w:p w:rsidR="009F3238" w:rsidRPr="004A470E" w:rsidRDefault="009F3238" w:rsidP="009F3238">
            <w:pPr>
              <w:pStyle w:val="BodyText"/>
            </w:pPr>
            <w:r w:rsidRPr="004A470E">
              <w:t>Increase in lost revenue due to untraceable customers</w:t>
            </w:r>
            <w:r w:rsidR="0082284B">
              <w:t xml:space="preserve"> and customers unwilling to pay</w:t>
            </w:r>
            <w:r w:rsidRPr="004A470E">
              <w:t>.</w:t>
            </w:r>
          </w:p>
        </w:tc>
      </w:tr>
      <w:tr w:rsidR="00DF7208" w:rsidRPr="004A470E" w:rsidTr="002571C1">
        <w:trPr>
          <w:cantSplit/>
          <w:trHeight w:val="806"/>
          <w:jc w:val="center"/>
        </w:trPr>
        <w:tc>
          <w:tcPr>
            <w:tcW w:w="0" w:type="auto"/>
            <w:shd w:val="pct20" w:color="FFFF00" w:fill="FFFFFF"/>
            <w:vAlign w:val="center"/>
          </w:tcPr>
          <w:p w:rsidR="00DF7208" w:rsidRPr="004A470E" w:rsidRDefault="00DF7208" w:rsidP="00D91987">
            <w:pPr>
              <w:pStyle w:val="BodyText"/>
              <w:jc w:val="center"/>
              <w:rPr>
                <w:b/>
                <w:bCs/>
                <w:i/>
                <w:iCs/>
              </w:rPr>
            </w:pPr>
            <w:r w:rsidRPr="004A470E">
              <w:rPr>
                <w:b/>
                <w:bCs/>
                <w:i/>
                <w:iCs/>
              </w:rPr>
              <w:t>Enforcement / Collection</w:t>
            </w:r>
          </w:p>
        </w:tc>
        <w:tc>
          <w:tcPr>
            <w:tcW w:w="0" w:type="auto"/>
            <w:shd w:val="pct20" w:color="FFFF00" w:fill="FFFFFF"/>
            <w:vAlign w:val="center"/>
          </w:tcPr>
          <w:p w:rsidR="00DF7208" w:rsidRPr="004A470E" w:rsidRDefault="009F3238" w:rsidP="00782197">
            <w:pPr>
              <w:pStyle w:val="BodyText"/>
            </w:pPr>
            <w:r w:rsidRPr="004A470E">
              <w:t>Those with unpaid toll invoices may be subject to collection agencies and/or vehicle registration denial.</w:t>
            </w:r>
          </w:p>
        </w:tc>
        <w:tc>
          <w:tcPr>
            <w:tcW w:w="0" w:type="auto"/>
            <w:shd w:val="pct20" w:color="FFFF00" w:fill="FFFFFF"/>
            <w:vAlign w:val="center"/>
          </w:tcPr>
          <w:p w:rsidR="00DF7208" w:rsidRPr="004A470E" w:rsidRDefault="00DF7208" w:rsidP="00782197">
            <w:pPr>
              <w:pStyle w:val="BodyText"/>
            </w:pPr>
            <w:r w:rsidRPr="004A470E">
              <w:t>Eliminate on-site per transaction enforcement.</w:t>
            </w:r>
            <w:bookmarkStart w:id="0" w:name="_GoBack"/>
            <w:bookmarkEnd w:id="0"/>
          </w:p>
          <w:p w:rsidR="00DF7208" w:rsidRPr="004A470E" w:rsidRDefault="00DF7208" w:rsidP="00782197">
            <w:pPr>
              <w:pStyle w:val="BodyText"/>
            </w:pPr>
            <w:r w:rsidRPr="004A470E">
              <w:t xml:space="preserve">Possible on-site enforcement (vehicle apprehension) of watch-list vehicles. </w:t>
            </w:r>
          </w:p>
        </w:tc>
        <w:tc>
          <w:tcPr>
            <w:tcW w:w="0" w:type="auto"/>
            <w:shd w:val="pct20" w:color="FFFF00" w:fill="FFFFFF"/>
            <w:vAlign w:val="center"/>
          </w:tcPr>
          <w:p w:rsidR="00DF7208" w:rsidRPr="004A470E" w:rsidRDefault="00DF7208" w:rsidP="00782197">
            <w:pPr>
              <w:pStyle w:val="BodyText"/>
            </w:pPr>
            <w:r w:rsidRPr="004A470E">
              <w:t>Possible change of toll transaction based penalties to invoice based interest charges.</w:t>
            </w:r>
          </w:p>
          <w:p w:rsidR="00A51D20" w:rsidRPr="004A470E" w:rsidRDefault="00A51D20" w:rsidP="00DF7208">
            <w:pPr>
              <w:pStyle w:val="BodyText"/>
            </w:pPr>
            <w:r w:rsidRPr="004A470E">
              <w:t>Legislation change to allow customers to use the facility without having paid the toll (invoice to be sent later) is typically required.</w:t>
            </w:r>
          </w:p>
          <w:p w:rsidR="00DF7208" w:rsidRPr="004A470E" w:rsidRDefault="00DF7208" w:rsidP="00DF7208">
            <w:pPr>
              <w:pStyle w:val="BodyText"/>
            </w:pPr>
            <w:r w:rsidRPr="004A470E">
              <w:t>Legislation to enable use of collection agencies and/or vehicle registration denial for unpaid toll invoices is typically required.</w:t>
            </w:r>
          </w:p>
          <w:p w:rsidR="00A51D20" w:rsidRPr="004A470E" w:rsidRDefault="00A51D20" w:rsidP="00DF7208">
            <w:pPr>
              <w:pStyle w:val="BodyText"/>
            </w:pPr>
            <w:r w:rsidRPr="004A470E">
              <w:t>Legislation to enable on-site vehicle apprehension (if desired).</w:t>
            </w:r>
          </w:p>
        </w:tc>
      </w:tr>
      <w:tr w:rsidR="00555413" w:rsidRPr="004A470E" w:rsidTr="002571C1">
        <w:trPr>
          <w:trHeight w:val="806"/>
          <w:jc w:val="center"/>
        </w:trPr>
        <w:tc>
          <w:tcPr>
            <w:tcW w:w="0" w:type="auto"/>
            <w:shd w:val="pct20" w:color="FFFF00" w:fill="FFFFFF"/>
            <w:vAlign w:val="center"/>
          </w:tcPr>
          <w:p w:rsidR="00555413" w:rsidRPr="004A470E" w:rsidRDefault="00555413" w:rsidP="00D91987">
            <w:pPr>
              <w:pStyle w:val="BodyText"/>
              <w:jc w:val="center"/>
              <w:rPr>
                <w:b/>
                <w:bCs/>
                <w:i/>
                <w:iCs/>
              </w:rPr>
            </w:pPr>
            <w:r w:rsidRPr="004A470E">
              <w:rPr>
                <w:b/>
                <w:bCs/>
                <w:i/>
                <w:iCs/>
              </w:rPr>
              <w:t>Cooperation</w:t>
            </w:r>
            <w:r w:rsidR="009F3238" w:rsidRPr="004A470E">
              <w:rPr>
                <w:b/>
                <w:bCs/>
                <w:i/>
                <w:iCs/>
              </w:rPr>
              <w:t xml:space="preserve"> with Other Agencies and/or Governments </w:t>
            </w:r>
          </w:p>
        </w:tc>
        <w:tc>
          <w:tcPr>
            <w:tcW w:w="0" w:type="auto"/>
            <w:shd w:val="pct20" w:color="FFFF00" w:fill="FFFFFF"/>
            <w:vAlign w:val="center"/>
          </w:tcPr>
          <w:p w:rsidR="00555413" w:rsidRPr="004A470E" w:rsidRDefault="00555413" w:rsidP="00782197">
            <w:pPr>
              <w:pStyle w:val="BodyText"/>
            </w:pPr>
            <w:r w:rsidRPr="004A470E">
              <w:t>Not applicable.</w:t>
            </w:r>
          </w:p>
        </w:tc>
        <w:tc>
          <w:tcPr>
            <w:tcW w:w="0" w:type="auto"/>
            <w:shd w:val="pct20" w:color="FFFF00" w:fill="FFFFFF"/>
            <w:vAlign w:val="center"/>
          </w:tcPr>
          <w:p w:rsidR="00555413" w:rsidRPr="004A470E" w:rsidRDefault="00555413" w:rsidP="009F3238">
            <w:pPr>
              <w:pStyle w:val="BodyText"/>
            </w:pPr>
            <w:r w:rsidRPr="004A470E">
              <w:t>Increased desire for agency cooperation</w:t>
            </w:r>
            <w:r w:rsidR="00A51D20" w:rsidRPr="004A470E">
              <w:t xml:space="preserve"> (interoperability)</w:t>
            </w:r>
            <w:r w:rsidRPr="004A470E">
              <w:t xml:space="preserve"> related to </w:t>
            </w:r>
            <w:r w:rsidR="009F3238" w:rsidRPr="004A470E">
              <w:t>image</w:t>
            </w:r>
            <w:r w:rsidRPr="004A470E">
              <w:t xml:space="preserve"> customers. </w:t>
            </w:r>
          </w:p>
        </w:tc>
        <w:tc>
          <w:tcPr>
            <w:tcW w:w="0" w:type="auto"/>
            <w:shd w:val="pct20" w:color="FFFF00" w:fill="FFFFFF"/>
            <w:vAlign w:val="center"/>
          </w:tcPr>
          <w:p w:rsidR="00555413" w:rsidRPr="004A470E" w:rsidRDefault="00555413" w:rsidP="009F3238">
            <w:pPr>
              <w:pStyle w:val="BodyText"/>
            </w:pPr>
            <w:r w:rsidRPr="004A470E">
              <w:t xml:space="preserve">Increased desire for </w:t>
            </w:r>
            <w:r w:rsidR="009F3238" w:rsidRPr="004A470E">
              <w:t>provincial / state coope</w:t>
            </w:r>
            <w:r w:rsidR="002B4046" w:rsidRPr="004A470E">
              <w:t>ration related to motor vehicle</w:t>
            </w:r>
            <w:r w:rsidRPr="004A470E">
              <w:t xml:space="preserve"> re</w:t>
            </w:r>
            <w:r w:rsidR="009F3238" w:rsidRPr="004A470E">
              <w:t>gistration</w:t>
            </w:r>
            <w:r w:rsidRPr="004A470E">
              <w:t xml:space="preserve"> access</w:t>
            </w:r>
            <w:r w:rsidR="002B4046" w:rsidRPr="004A470E">
              <w:t xml:space="preserve"> and vehicle registration denial reciprocity</w:t>
            </w:r>
            <w:r w:rsidRPr="004A470E">
              <w:t>.</w:t>
            </w:r>
          </w:p>
        </w:tc>
      </w:tr>
    </w:tbl>
    <w:p w:rsidR="00C63EC3" w:rsidRPr="004A470E" w:rsidRDefault="00C63EC3" w:rsidP="00C63EC3">
      <w:pPr>
        <w:pStyle w:val="BodyText"/>
      </w:pPr>
    </w:p>
    <w:sectPr w:rsidR="00C63EC3" w:rsidRPr="004A470E" w:rsidSect="00003157">
      <w:headerReference w:type="default" r:id="rId7"/>
      <w:footerReference w:type="default" r:id="rId8"/>
      <w:pgSz w:w="15840" w:h="12240" w:orient="landscape" w:code="1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276" w:rsidRDefault="00F94276">
      <w:r>
        <w:separator/>
      </w:r>
    </w:p>
  </w:endnote>
  <w:endnote w:type="continuationSeparator" w:id="0">
    <w:p w:rsidR="00F94276" w:rsidRDefault="00F9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06B" w:rsidRPr="004C6328" w:rsidRDefault="0077406B" w:rsidP="00E50149">
    <w:pPr>
      <w:pStyle w:val="Footer"/>
      <w:tabs>
        <w:tab w:val="clear" w:pos="4320"/>
        <w:tab w:val="clear" w:pos="8640"/>
        <w:tab w:val="center" w:pos="5000"/>
        <w:tab w:val="right" w:pos="9900"/>
      </w:tabs>
      <w:rPr>
        <w:lang w:val="en-US"/>
      </w:rPr>
    </w:pPr>
    <w:r>
      <w:rPr>
        <w:lang w:val="en-US"/>
      </w:rPr>
      <w:t xml:space="preserve">IBI Group </w:t>
    </w:r>
    <w:r>
      <w:rPr>
        <w:lang w:val="en-US"/>
      </w:rPr>
      <w:tab/>
    </w:r>
    <w:r w:rsidR="002571C1">
      <w:rPr>
        <w:lang w:val="en-US"/>
      </w:rPr>
      <w:t xml:space="preserve">                                                  </w:t>
    </w:r>
    <w:r>
      <w:rPr>
        <w:lang w:val="en-US"/>
      </w:rPr>
      <w:t>P</w:t>
    </w:r>
    <w:r w:rsidRPr="004C6328">
      <w:rPr>
        <w:szCs w:val="20"/>
        <w:lang w:val="en-US"/>
      </w:rPr>
      <w:t xml:space="preserve">age </w:t>
    </w:r>
    <w:r w:rsidR="00D33DED" w:rsidRPr="004C6328">
      <w:rPr>
        <w:rStyle w:val="PageNumber"/>
        <w:sz w:val="20"/>
        <w:szCs w:val="20"/>
      </w:rPr>
      <w:fldChar w:fldCharType="begin"/>
    </w:r>
    <w:r w:rsidRPr="004C6328">
      <w:rPr>
        <w:rStyle w:val="PageNumber"/>
        <w:sz w:val="20"/>
        <w:szCs w:val="20"/>
      </w:rPr>
      <w:instrText xml:space="preserve"> PAGE </w:instrText>
    </w:r>
    <w:r w:rsidR="00D33DED" w:rsidRPr="004C6328">
      <w:rPr>
        <w:rStyle w:val="PageNumber"/>
        <w:sz w:val="20"/>
        <w:szCs w:val="20"/>
      </w:rPr>
      <w:fldChar w:fldCharType="separate"/>
    </w:r>
    <w:r w:rsidR="00B74F6B">
      <w:rPr>
        <w:rStyle w:val="PageNumber"/>
        <w:noProof/>
        <w:sz w:val="20"/>
        <w:szCs w:val="20"/>
      </w:rPr>
      <w:t>3</w:t>
    </w:r>
    <w:r w:rsidR="00D33DED" w:rsidRPr="004C6328">
      <w:rPr>
        <w:rStyle w:val="PageNumber"/>
        <w:sz w:val="20"/>
        <w:szCs w:val="20"/>
      </w:rPr>
      <w:fldChar w:fldCharType="end"/>
    </w:r>
    <w:r w:rsidRPr="004C6328">
      <w:rPr>
        <w:rStyle w:val="PageNumber"/>
        <w:sz w:val="20"/>
        <w:szCs w:val="20"/>
      </w:rPr>
      <w:t xml:space="preserve"> of </w:t>
    </w:r>
    <w:r w:rsidR="00D33DED" w:rsidRPr="004C6328">
      <w:rPr>
        <w:rStyle w:val="PageNumber"/>
        <w:sz w:val="20"/>
        <w:szCs w:val="20"/>
      </w:rPr>
      <w:fldChar w:fldCharType="begin"/>
    </w:r>
    <w:r w:rsidRPr="004C6328">
      <w:rPr>
        <w:rStyle w:val="PageNumber"/>
        <w:sz w:val="20"/>
        <w:szCs w:val="20"/>
      </w:rPr>
      <w:instrText xml:space="preserve"> NUMPAGES </w:instrText>
    </w:r>
    <w:r w:rsidR="00D33DED" w:rsidRPr="004C6328">
      <w:rPr>
        <w:rStyle w:val="PageNumber"/>
        <w:sz w:val="20"/>
        <w:szCs w:val="20"/>
      </w:rPr>
      <w:fldChar w:fldCharType="separate"/>
    </w:r>
    <w:r w:rsidR="00B74F6B">
      <w:rPr>
        <w:rStyle w:val="PageNumber"/>
        <w:noProof/>
        <w:sz w:val="20"/>
        <w:szCs w:val="20"/>
      </w:rPr>
      <w:t>3</w:t>
    </w:r>
    <w:r w:rsidR="00D33DED" w:rsidRPr="004C6328">
      <w:rPr>
        <w:rStyle w:val="PageNumber"/>
        <w:sz w:val="20"/>
        <w:szCs w:val="20"/>
      </w:rPr>
      <w:fldChar w:fldCharType="end"/>
    </w:r>
    <w:r w:rsidR="002571C1">
      <w:rPr>
        <w:lang w:val="en-US"/>
      </w:rPr>
      <w:tab/>
    </w:r>
    <w:r w:rsidR="002571C1">
      <w:rPr>
        <w:lang w:val="en-US"/>
      </w:rPr>
      <w:tab/>
    </w:r>
    <w:r w:rsidR="002571C1">
      <w:rPr>
        <w:lang w:val="en-US"/>
      </w:rPr>
      <w:tab/>
    </w:r>
    <w:r w:rsidR="002571C1">
      <w:rPr>
        <w:lang w:val="en-US"/>
      </w:rPr>
      <w:tab/>
    </w:r>
    <w:r w:rsidR="002571C1">
      <w:rPr>
        <w:lang w:val="en-US"/>
      </w:rPr>
      <w:tab/>
    </w:r>
    <w:r w:rsidR="009F3238">
      <w:rPr>
        <w:lang w:val="en-US"/>
      </w:rPr>
      <w:t>201</w:t>
    </w:r>
    <w:r w:rsidR="0082284B">
      <w:rPr>
        <w:lang w:val="en-US"/>
      </w:rPr>
      <w:t>8</w:t>
    </w:r>
    <w:r w:rsidR="009F3238">
      <w:rPr>
        <w:lang w:val="en-US"/>
      </w:rPr>
      <w:t xml:space="preserve"> </w:t>
    </w:r>
    <w:r w:rsidR="00B43B23">
      <w:rPr>
        <w:lang w:val="en-US"/>
      </w:rPr>
      <w:t>May</w:t>
    </w:r>
    <w:r w:rsidR="009F3238">
      <w:rPr>
        <w:lang w:val="en-US"/>
      </w:rPr>
      <w:t xml:space="preserve"> </w:t>
    </w:r>
    <w:r w:rsidR="00B43B23">
      <w:rPr>
        <w:lang w:val="en-US"/>
      </w:rPr>
      <w:t>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276" w:rsidRDefault="00F94276">
      <w:r>
        <w:separator/>
      </w:r>
    </w:p>
  </w:footnote>
  <w:footnote w:type="continuationSeparator" w:id="0">
    <w:p w:rsidR="00F94276" w:rsidRDefault="00F94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157" w:rsidRDefault="00003157" w:rsidP="00003157">
    <w:pPr>
      <w:pStyle w:val="BodyText"/>
      <w:jc w:val="center"/>
      <w:rPr>
        <w:b/>
        <w:color w:val="FFFFFF"/>
        <w:sz w:val="28"/>
        <w:szCs w:val="28"/>
        <w:highlight w:val="darkRed"/>
      </w:rPr>
    </w:pPr>
    <w:r w:rsidRPr="004A470E">
      <w:rPr>
        <w:b/>
        <w:color w:val="FFFFFF"/>
        <w:sz w:val="28"/>
        <w:szCs w:val="28"/>
        <w:highlight w:val="darkRed"/>
      </w:rPr>
      <w:t>All Electronic Tolling</w:t>
    </w:r>
    <w:r>
      <w:rPr>
        <w:b/>
        <w:color w:val="FFFFFF"/>
        <w:sz w:val="28"/>
        <w:szCs w:val="28"/>
        <w:highlight w:val="darkRed"/>
      </w:rPr>
      <w:t xml:space="preserve"> (AET) Conversion</w:t>
    </w:r>
    <w:r w:rsidRPr="004A470E">
      <w:rPr>
        <w:b/>
        <w:color w:val="FFFFFF"/>
        <w:sz w:val="28"/>
        <w:szCs w:val="28"/>
        <w:highlight w:val="darkRed"/>
      </w:rPr>
      <w:t xml:space="preserve"> from Cash / Express </w:t>
    </w:r>
    <w:r>
      <w:rPr>
        <w:b/>
        <w:color w:val="FFFFFF"/>
        <w:sz w:val="28"/>
        <w:szCs w:val="28"/>
        <w:highlight w:val="darkRed"/>
      </w:rPr>
      <w:t>Tolling</w:t>
    </w:r>
    <w:r w:rsidRPr="004A470E">
      <w:rPr>
        <w:b/>
        <w:color w:val="FFFFFF"/>
        <w:sz w:val="28"/>
        <w:szCs w:val="28"/>
        <w:highlight w:val="darkRed"/>
      </w:rPr>
      <w:t xml:space="preserve"> </w:t>
    </w:r>
  </w:p>
  <w:p w:rsidR="00003157" w:rsidRDefault="00003157" w:rsidP="00003157">
    <w:pPr>
      <w:pStyle w:val="Header"/>
      <w:jc w:val="center"/>
    </w:pPr>
    <w:r>
      <w:rPr>
        <w:color w:val="FFFFFF"/>
        <w:sz w:val="28"/>
        <w:szCs w:val="28"/>
        <w:highlight w:val="darkRed"/>
      </w:rPr>
      <w:t xml:space="preserve">Synopsis of </w:t>
    </w:r>
    <w:r w:rsidRPr="004A470E">
      <w:rPr>
        <w:color w:val="FFFFFF"/>
        <w:sz w:val="28"/>
        <w:szCs w:val="28"/>
        <w:highlight w:val="darkRed"/>
      </w:rPr>
      <w:t>Impacts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66D35"/>
    <w:multiLevelType w:val="singleLevel"/>
    <w:tmpl w:val="50DC7CA6"/>
    <w:lvl w:ilvl="0">
      <w:start w:val="1"/>
      <w:numFmt w:val="bullet"/>
      <w:pStyle w:val="BulletPoin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">
    <w:nsid w:val="2C4F013D"/>
    <w:multiLevelType w:val="hybridMultilevel"/>
    <w:tmpl w:val="45FA09D0"/>
    <w:lvl w:ilvl="0" w:tplc="76C019A6">
      <w:start w:val="1"/>
      <w:numFmt w:val="lowerRoman"/>
      <w:pStyle w:val="Small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>
    <w:nsid w:val="30875603"/>
    <w:multiLevelType w:val="hybridMultilevel"/>
    <w:tmpl w:val="6CD6DA8A"/>
    <w:lvl w:ilvl="0" w:tplc="38BA8ABA">
      <w:start w:val="1"/>
      <w:numFmt w:val="lowerLetter"/>
      <w:pStyle w:val="AlphaSmall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9E2EBE7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1C16EDA"/>
    <w:multiLevelType w:val="hybridMultilevel"/>
    <w:tmpl w:val="09C4FDBA"/>
    <w:lvl w:ilvl="0" w:tplc="56EE47F8">
      <w:start w:val="1"/>
      <w:numFmt w:val="upperLetter"/>
      <w:pStyle w:val="AlphaBulle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7C56FB"/>
    <w:multiLevelType w:val="singleLevel"/>
    <w:tmpl w:val="3B4C587A"/>
    <w:lvl w:ilvl="0">
      <w:start w:val="1"/>
      <w:numFmt w:val="bullet"/>
      <w:pStyle w:val="DashPoin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5">
    <w:nsid w:val="40460601"/>
    <w:multiLevelType w:val="singleLevel"/>
    <w:tmpl w:val="8A36B0A8"/>
    <w:lvl w:ilvl="0">
      <w:start w:val="1"/>
      <w:numFmt w:val="bullet"/>
      <w:pStyle w:val="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6">
    <w:nsid w:val="43B0742B"/>
    <w:multiLevelType w:val="singleLevel"/>
    <w:tmpl w:val="9312A5F0"/>
    <w:lvl w:ilvl="0">
      <w:start w:val="1"/>
      <w:numFmt w:val="bullet"/>
      <w:pStyle w:val="BulletPoint3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7">
    <w:nsid w:val="4C104103"/>
    <w:multiLevelType w:val="singleLevel"/>
    <w:tmpl w:val="768C3984"/>
    <w:lvl w:ilvl="0">
      <w:start w:val="1"/>
      <w:numFmt w:val="decimal"/>
      <w:pStyle w:val="NumberedPoin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8">
    <w:nsid w:val="53B62499"/>
    <w:multiLevelType w:val="hybridMultilevel"/>
    <w:tmpl w:val="5A2A86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5D33F5E"/>
    <w:multiLevelType w:val="singleLevel"/>
    <w:tmpl w:val="2A265A38"/>
    <w:lvl w:ilvl="0">
      <w:start w:val="1"/>
      <w:numFmt w:val="bullet"/>
      <w:pStyle w:val="DiamondPoint"/>
      <w:lvlText w:val="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  <w:num w:numId="1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activeWritingStyle w:appName="MSWord" w:lang="en-US" w:vendorID="64" w:dllVersion="131078" w:nlCheck="1" w:checkStyle="1"/>
  <w:activeWritingStyle w:appName="MSWord" w:lang="en-CA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C3"/>
    <w:rsid w:val="00003157"/>
    <w:rsid w:val="00004863"/>
    <w:rsid w:val="00014592"/>
    <w:rsid w:val="000166BE"/>
    <w:rsid w:val="00016792"/>
    <w:rsid w:val="00024789"/>
    <w:rsid w:val="00033CCE"/>
    <w:rsid w:val="00036F80"/>
    <w:rsid w:val="00041A45"/>
    <w:rsid w:val="00047B35"/>
    <w:rsid w:val="00057D0B"/>
    <w:rsid w:val="0006173A"/>
    <w:rsid w:val="000646CF"/>
    <w:rsid w:val="00064B18"/>
    <w:rsid w:val="00073853"/>
    <w:rsid w:val="000744F3"/>
    <w:rsid w:val="00076315"/>
    <w:rsid w:val="000B121D"/>
    <w:rsid w:val="000C068C"/>
    <w:rsid w:val="000C4244"/>
    <w:rsid w:val="000D04D8"/>
    <w:rsid w:val="000D51B6"/>
    <w:rsid w:val="000E2B76"/>
    <w:rsid w:val="000F3B75"/>
    <w:rsid w:val="000F4DA9"/>
    <w:rsid w:val="000F59AF"/>
    <w:rsid w:val="001011D8"/>
    <w:rsid w:val="00102291"/>
    <w:rsid w:val="00106ABD"/>
    <w:rsid w:val="001114A4"/>
    <w:rsid w:val="00125C5A"/>
    <w:rsid w:val="00136609"/>
    <w:rsid w:val="00156A70"/>
    <w:rsid w:val="00176D89"/>
    <w:rsid w:val="001811B0"/>
    <w:rsid w:val="00187913"/>
    <w:rsid w:val="00196860"/>
    <w:rsid w:val="001A526D"/>
    <w:rsid w:val="001A5B88"/>
    <w:rsid w:val="001B167C"/>
    <w:rsid w:val="001C2805"/>
    <w:rsid w:val="001E7A26"/>
    <w:rsid w:val="001E7D6A"/>
    <w:rsid w:val="001F3B91"/>
    <w:rsid w:val="001F65F3"/>
    <w:rsid w:val="002027D1"/>
    <w:rsid w:val="00204BFC"/>
    <w:rsid w:val="00215C35"/>
    <w:rsid w:val="00221FB7"/>
    <w:rsid w:val="002224C9"/>
    <w:rsid w:val="00233AF4"/>
    <w:rsid w:val="002373FD"/>
    <w:rsid w:val="00237ADD"/>
    <w:rsid w:val="002439A9"/>
    <w:rsid w:val="002501C0"/>
    <w:rsid w:val="00253C8C"/>
    <w:rsid w:val="002571C1"/>
    <w:rsid w:val="0026393D"/>
    <w:rsid w:val="00274105"/>
    <w:rsid w:val="002855C7"/>
    <w:rsid w:val="00293B88"/>
    <w:rsid w:val="0029486E"/>
    <w:rsid w:val="002B4046"/>
    <w:rsid w:val="002B5BD6"/>
    <w:rsid w:val="002C4FA2"/>
    <w:rsid w:val="002C52F5"/>
    <w:rsid w:val="002C665D"/>
    <w:rsid w:val="002E3EFE"/>
    <w:rsid w:val="002E42EA"/>
    <w:rsid w:val="002F5DC7"/>
    <w:rsid w:val="003046C6"/>
    <w:rsid w:val="00310CF1"/>
    <w:rsid w:val="00310E15"/>
    <w:rsid w:val="0031307A"/>
    <w:rsid w:val="003203B5"/>
    <w:rsid w:val="00332513"/>
    <w:rsid w:val="00343293"/>
    <w:rsid w:val="00352919"/>
    <w:rsid w:val="00363C4C"/>
    <w:rsid w:val="003701A3"/>
    <w:rsid w:val="00373128"/>
    <w:rsid w:val="00397A03"/>
    <w:rsid w:val="003A5547"/>
    <w:rsid w:val="003C0F93"/>
    <w:rsid w:val="003D3682"/>
    <w:rsid w:val="003E0C93"/>
    <w:rsid w:val="003E72D8"/>
    <w:rsid w:val="003E7D7B"/>
    <w:rsid w:val="003F1165"/>
    <w:rsid w:val="00432EBC"/>
    <w:rsid w:val="004428BA"/>
    <w:rsid w:val="004479FC"/>
    <w:rsid w:val="00450007"/>
    <w:rsid w:val="00466569"/>
    <w:rsid w:val="004701D4"/>
    <w:rsid w:val="00470F75"/>
    <w:rsid w:val="00471F97"/>
    <w:rsid w:val="00483E0A"/>
    <w:rsid w:val="00484D6C"/>
    <w:rsid w:val="004904A6"/>
    <w:rsid w:val="00491C7D"/>
    <w:rsid w:val="004A470E"/>
    <w:rsid w:val="004A49ED"/>
    <w:rsid w:val="004B1E3B"/>
    <w:rsid w:val="004C6328"/>
    <w:rsid w:val="004C6F2B"/>
    <w:rsid w:val="004D4EBE"/>
    <w:rsid w:val="004D6B55"/>
    <w:rsid w:val="004E24FE"/>
    <w:rsid w:val="00501770"/>
    <w:rsid w:val="00513CDD"/>
    <w:rsid w:val="00520784"/>
    <w:rsid w:val="0052268A"/>
    <w:rsid w:val="00530888"/>
    <w:rsid w:val="00541833"/>
    <w:rsid w:val="00555413"/>
    <w:rsid w:val="00561D96"/>
    <w:rsid w:val="00561FC8"/>
    <w:rsid w:val="00567421"/>
    <w:rsid w:val="005A0A06"/>
    <w:rsid w:val="005B46DD"/>
    <w:rsid w:val="005C4242"/>
    <w:rsid w:val="005C5FCC"/>
    <w:rsid w:val="005E0804"/>
    <w:rsid w:val="005E26B7"/>
    <w:rsid w:val="005E2891"/>
    <w:rsid w:val="005E33F7"/>
    <w:rsid w:val="005E3671"/>
    <w:rsid w:val="005F2D9A"/>
    <w:rsid w:val="00614EE6"/>
    <w:rsid w:val="00615D09"/>
    <w:rsid w:val="00616C9E"/>
    <w:rsid w:val="00630131"/>
    <w:rsid w:val="006415C6"/>
    <w:rsid w:val="006429B6"/>
    <w:rsid w:val="00645046"/>
    <w:rsid w:val="00657EB7"/>
    <w:rsid w:val="0066546F"/>
    <w:rsid w:val="006676CC"/>
    <w:rsid w:val="00670D6B"/>
    <w:rsid w:val="00677B06"/>
    <w:rsid w:val="00677BD9"/>
    <w:rsid w:val="00686264"/>
    <w:rsid w:val="00692FE3"/>
    <w:rsid w:val="00696C5C"/>
    <w:rsid w:val="006D1E10"/>
    <w:rsid w:val="00706398"/>
    <w:rsid w:val="00707F2F"/>
    <w:rsid w:val="0071720A"/>
    <w:rsid w:val="00721BCF"/>
    <w:rsid w:val="0073330A"/>
    <w:rsid w:val="00752D23"/>
    <w:rsid w:val="00752DBC"/>
    <w:rsid w:val="00765508"/>
    <w:rsid w:val="007664D0"/>
    <w:rsid w:val="00767489"/>
    <w:rsid w:val="007724A5"/>
    <w:rsid w:val="0077406B"/>
    <w:rsid w:val="00775ED3"/>
    <w:rsid w:val="00782197"/>
    <w:rsid w:val="00786033"/>
    <w:rsid w:val="00787E64"/>
    <w:rsid w:val="007A0CC7"/>
    <w:rsid w:val="007A611F"/>
    <w:rsid w:val="007A7658"/>
    <w:rsid w:val="007B7CA7"/>
    <w:rsid w:val="007E0CF6"/>
    <w:rsid w:val="007F0DC5"/>
    <w:rsid w:val="00801BAB"/>
    <w:rsid w:val="0080285F"/>
    <w:rsid w:val="00805AE2"/>
    <w:rsid w:val="00805BA6"/>
    <w:rsid w:val="00811847"/>
    <w:rsid w:val="00816B9E"/>
    <w:rsid w:val="0082284B"/>
    <w:rsid w:val="008405AB"/>
    <w:rsid w:val="008466DD"/>
    <w:rsid w:val="00863811"/>
    <w:rsid w:val="00863F64"/>
    <w:rsid w:val="008641F8"/>
    <w:rsid w:val="008674F4"/>
    <w:rsid w:val="008704BD"/>
    <w:rsid w:val="00874F90"/>
    <w:rsid w:val="008853BC"/>
    <w:rsid w:val="00886038"/>
    <w:rsid w:val="0089718D"/>
    <w:rsid w:val="008A4586"/>
    <w:rsid w:val="008A469A"/>
    <w:rsid w:val="008D1B9D"/>
    <w:rsid w:val="008D317F"/>
    <w:rsid w:val="008E17CD"/>
    <w:rsid w:val="008E5B7D"/>
    <w:rsid w:val="008E7981"/>
    <w:rsid w:val="008F080B"/>
    <w:rsid w:val="00936D42"/>
    <w:rsid w:val="009436D1"/>
    <w:rsid w:val="00947A3C"/>
    <w:rsid w:val="00952A8F"/>
    <w:rsid w:val="00953CE4"/>
    <w:rsid w:val="00965CAF"/>
    <w:rsid w:val="00966868"/>
    <w:rsid w:val="00987CFE"/>
    <w:rsid w:val="009B6697"/>
    <w:rsid w:val="009B6797"/>
    <w:rsid w:val="009C17ED"/>
    <w:rsid w:val="009C2AE6"/>
    <w:rsid w:val="009C3219"/>
    <w:rsid w:val="009C3E4C"/>
    <w:rsid w:val="009F3238"/>
    <w:rsid w:val="009F4D86"/>
    <w:rsid w:val="009F7317"/>
    <w:rsid w:val="00A10DF5"/>
    <w:rsid w:val="00A13416"/>
    <w:rsid w:val="00A51D20"/>
    <w:rsid w:val="00A53E00"/>
    <w:rsid w:val="00A57C69"/>
    <w:rsid w:val="00A62A3F"/>
    <w:rsid w:val="00A66BCB"/>
    <w:rsid w:val="00A73DCA"/>
    <w:rsid w:val="00A74A50"/>
    <w:rsid w:val="00A8341B"/>
    <w:rsid w:val="00A86244"/>
    <w:rsid w:val="00AA4897"/>
    <w:rsid w:val="00AB034F"/>
    <w:rsid w:val="00AB347B"/>
    <w:rsid w:val="00AB5271"/>
    <w:rsid w:val="00AC5373"/>
    <w:rsid w:val="00AE574B"/>
    <w:rsid w:val="00AF7670"/>
    <w:rsid w:val="00B04DC3"/>
    <w:rsid w:val="00B07DFC"/>
    <w:rsid w:val="00B24C8B"/>
    <w:rsid w:val="00B40410"/>
    <w:rsid w:val="00B408AA"/>
    <w:rsid w:val="00B40FA5"/>
    <w:rsid w:val="00B43B23"/>
    <w:rsid w:val="00B52791"/>
    <w:rsid w:val="00B54411"/>
    <w:rsid w:val="00B63FA1"/>
    <w:rsid w:val="00B66E43"/>
    <w:rsid w:val="00B74F6B"/>
    <w:rsid w:val="00B95536"/>
    <w:rsid w:val="00BA0E01"/>
    <w:rsid w:val="00BD4758"/>
    <w:rsid w:val="00BD7089"/>
    <w:rsid w:val="00BE68F6"/>
    <w:rsid w:val="00BE6DA1"/>
    <w:rsid w:val="00C00E7A"/>
    <w:rsid w:val="00C12094"/>
    <w:rsid w:val="00C1726D"/>
    <w:rsid w:val="00C22357"/>
    <w:rsid w:val="00C35EDD"/>
    <w:rsid w:val="00C37C28"/>
    <w:rsid w:val="00C511C3"/>
    <w:rsid w:val="00C529EB"/>
    <w:rsid w:val="00C554A6"/>
    <w:rsid w:val="00C600B2"/>
    <w:rsid w:val="00C61CAC"/>
    <w:rsid w:val="00C63EC3"/>
    <w:rsid w:val="00C65197"/>
    <w:rsid w:val="00C85FB5"/>
    <w:rsid w:val="00C8614E"/>
    <w:rsid w:val="00C874D2"/>
    <w:rsid w:val="00C87FD6"/>
    <w:rsid w:val="00CA1DFC"/>
    <w:rsid w:val="00CB0E04"/>
    <w:rsid w:val="00CB6663"/>
    <w:rsid w:val="00CB76D8"/>
    <w:rsid w:val="00CC2493"/>
    <w:rsid w:val="00CC54B3"/>
    <w:rsid w:val="00CC733F"/>
    <w:rsid w:val="00CD0751"/>
    <w:rsid w:val="00CD26E3"/>
    <w:rsid w:val="00D13B7D"/>
    <w:rsid w:val="00D20572"/>
    <w:rsid w:val="00D24068"/>
    <w:rsid w:val="00D249F4"/>
    <w:rsid w:val="00D3294B"/>
    <w:rsid w:val="00D33DED"/>
    <w:rsid w:val="00D64FE6"/>
    <w:rsid w:val="00D67BCA"/>
    <w:rsid w:val="00D67F43"/>
    <w:rsid w:val="00D72A64"/>
    <w:rsid w:val="00D73FFE"/>
    <w:rsid w:val="00D76F5F"/>
    <w:rsid w:val="00D814E9"/>
    <w:rsid w:val="00D83AFF"/>
    <w:rsid w:val="00D86B00"/>
    <w:rsid w:val="00D91987"/>
    <w:rsid w:val="00D93E75"/>
    <w:rsid w:val="00D94D8D"/>
    <w:rsid w:val="00D96CF3"/>
    <w:rsid w:val="00D973BD"/>
    <w:rsid w:val="00DB7DC2"/>
    <w:rsid w:val="00DD3E8C"/>
    <w:rsid w:val="00DD476D"/>
    <w:rsid w:val="00DE650D"/>
    <w:rsid w:val="00DF1D81"/>
    <w:rsid w:val="00DF2AF3"/>
    <w:rsid w:val="00DF7208"/>
    <w:rsid w:val="00DF7EA0"/>
    <w:rsid w:val="00E00919"/>
    <w:rsid w:val="00E03A1F"/>
    <w:rsid w:val="00E045A8"/>
    <w:rsid w:val="00E11912"/>
    <w:rsid w:val="00E120EE"/>
    <w:rsid w:val="00E135FB"/>
    <w:rsid w:val="00E14C9C"/>
    <w:rsid w:val="00E20A3D"/>
    <w:rsid w:val="00E213C5"/>
    <w:rsid w:val="00E24D80"/>
    <w:rsid w:val="00E3402D"/>
    <w:rsid w:val="00E50149"/>
    <w:rsid w:val="00E55F27"/>
    <w:rsid w:val="00E924CB"/>
    <w:rsid w:val="00E9257F"/>
    <w:rsid w:val="00EA265D"/>
    <w:rsid w:val="00EB2B4D"/>
    <w:rsid w:val="00ED48AC"/>
    <w:rsid w:val="00ED6B68"/>
    <w:rsid w:val="00ED7559"/>
    <w:rsid w:val="00EE786F"/>
    <w:rsid w:val="00EF7D42"/>
    <w:rsid w:val="00F013C1"/>
    <w:rsid w:val="00F028EB"/>
    <w:rsid w:val="00F12C26"/>
    <w:rsid w:val="00F135A4"/>
    <w:rsid w:val="00F13712"/>
    <w:rsid w:val="00F27565"/>
    <w:rsid w:val="00F3075C"/>
    <w:rsid w:val="00F60DF8"/>
    <w:rsid w:val="00F658EA"/>
    <w:rsid w:val="00F85FE2"/>
    <w:rsid w:val="00F87298"/>
    <w:rsid w:val="00F87F26"/>
    <w:rsid w:val="00F94276"/>
    <w:rsid w:val="00F95CB5"/>
    <w:rsid w:val="00F963F7"/>
    <w:rsid w:val="00FA3F08"/>
    <w:rsid w:val="00FA5D6F"/>
    <w:rsid w:val="00FB0EEF"/>
    <w:rsid w:val="00FB1A1A"/>
    <w:rsid w:val="00FB2593"/>
    <w:rsid w:val="00FC75F1"/>
    <w:rsid w:val="00FD093F"/>
    <w:rsid w:val="00FD209A"/>
    <w:rsid w:val="00FD5CAF"/>
    <w:rsid w:val="00FE2759"/>
    <w:rsid w:val="00FE757C"/>
    <w:rsid w:val="00FF23EB"/>
    <w:rsid w:val="00FF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0F998C1-DB7D-496C-9EFC-6C594E05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BCF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BodyText"/>
    <w:qFormat/>
    <w:rsid w:val="00721BCF"/>
    <w:pPr>
      <w:keepNext/>
      <w:spacing w:before="360" w:after="120" w:line="240" w:lineRule="atLeast"/>
      <w:outlineLvl w:val="0"/>
    </w:pPr>
    <w:rPr>
      <w:rFonts w:ascii="Arial Bold" w:hAnsi="Arial Bold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BodyText"/>
    <w:qFormat/>
    <w:rsid w:val="00A57C69"/>
    <w:pPr>
      <w:keepNext/>
      <w:spacing w:before="360" w:after="120" w:line="240" w:lineRule="atLeast"/>
      <w:outlineLvl w:val="1"/>
    </w:pPr>
    <w:rPr>
      <w:rFonts w:ascii="Arial Bold" w:hAnsi="Arial Bold" w:cs="Arial"/>
      <w:b/>
      <w:bCs/>
      <w:iCs/>
      <w:szCs w:val="28"/>
    </w:rPr>
  </w:style>
  <w:style w:type="paragraph" w:styleId="Heading3">
    <w:name w:val="heading 3"/>
    <w:basedOn w:val="Normal"/>
    <w:next w:val="BodyText"/>
    <w:qFormat/>
    <w:rsid w:val="00A57C69"/>
    <w:pPr>
      <w:keepNext/>
      <w:spacing w:before="360" w:after="120" w:line="240" w:lineRule="atLeast"/>
      <w:outlineLvl w:val="2"/>
    </w:pPr>
    <w:rPr>
      <w:rFonts w:ascii="Arial Bold" w:hAnsi="Arial Bold" w:cs="Arial"/>
      <w:b/>
      <w:bCs/>
      <w:i/>
      <w:sz w:val="18"/>
      <w:szCs w:val="26"/>
    </w:rPr>
  </w:style>
  <w:style w:type="paragraph" w:styleId="Heading4">
    <w:name w:val="heading 4"/>
    <w:basedOn w:val="Normal"/>
    <w:next w:val="BodyText"/>
    <w:qFormat/>
    <w:rsid w:val="00A57C69"/>
    <w:pPr>
      <w:keepNext/>
      <w:spacing w:before="360" w:after="120" w:line="240" w:lineRule="atLeast"/>
      <w:outlineLvl w:val="3"/>
    </w:pPr>
    <w:rPr>
      <w:rFonts w:ascii="Arial Bold" w:hAnsi="Arial Bold"/>
      <w:b/>
      <w:bCs/>
      <w:sz w:val="16"/>
      <w:szCs w:val="28"/>
    </w:rPr>
  </w:style>
  <w:style w:type="paragraph" w:styleId="Heading5">
    <w:name w:val="heading 5"/>
    <w:basedOn w:val="Normal"/>
    <w:next w:val="BodyText"/>
    <w:qFormat/>
    <w:rsid w:val="00721BCF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721BC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721BCF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21BCF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21BCF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21BCF"/>
    <w:pPr>
      <w:spacing w:after="120" w:line="240" w:lineRule="atLeast"/>
    </w:pPr>
  </w:style>
  <w:style w:type="paragraph" w:customStyle="1" w:styleId="AlphaBullet">
    <w:name w:val="AlphaBullet"/>
    <w:basedOn w:val="BodyText"/>
    <w:rsid w:val="003046C6"/>
    <w:pPr>
      <w:numPr>
        <w:numId w:val="2"/>
      </w:numPr>
      <w:tabs>
        <w:tab w:val="clear" w:pos="1134"/>
      </w:tabs>
      <w:ind w:left="567" w:right="567"/>
    </w:pPr>
  </w:style>
  <w:style w:type="paragraph" w:customStyle="1" w:styleId="AlphaSmall">
    <w:name w:val="AlphaSmall"/>
    <w:basedOn w:val="BodyText"/>
    <w:rsid w:val="00ED48AC"/>
    <w:pPr>
      <w:numPr>
        <w:numId w:val="3"/>
      </w:numPr>
      <w:tabs>
        <w:tab w:val="clear" w:pos="1701"/>
      </w:tabs>
      <w:ind w:left="1134" w:right="567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721BCF"/>
    <w:rPr>
      <w:rFonts w:ascii="Arial" w:hAnsi="Arial"/>
      <w:szCs w:val="24"/>
      <w:lang w:val="en-CA" w:eastAsia="en-US" w:bidi="ar-SA"/>
    </w:rPr>
  </w:style>
  <w:style w:type="paragraph" w:styleId="BodyTextIndent">
    <w:name w:val="Body Text Indent"/>
    <w:basedOn w:val="Normal"/>
    <w:rsid w:val="00530888"/>
    <w:pPr>
      <w:spacing w:after="120" w:line="240" w:lineRule="atLeast"/>
      <w:ind w:left="567" w:right="567"/>
    </w:pPr>
  </w:style>
  <w:style w:type="paragraph" w:styleId="BodyTextIndent2">
    <w:name w:val="Body Text Indent 2"/>
    <w:basedOn w:val="Normal"/>
    <w:rsid w:val="00721BCF"/>
    <w:pPr>
      <w:spacing w:after="120"/>
      <w:ind w:left="1134" w:right="567"/>
    </w:pPr>
  </w:style>
  <w:style w:type="paragraph" w:customStyle="1" w:styleId="BulletPoint">
    <w:name w:val="Bullet Point"/>
    <w:basedOn w:val="Normal"/>
    <w:rsid w:val="00721BCF"/>
    <w:pPr>
      <w:numPr>
        <w:numId w:val="4"/>
      </w:numPr>
      <w:spacing w:after="120" w:line="240" w:lineRule="atLeast"/>
      <w:ind w:right="567"/>
    </w:pPr>
    <w:rPr>
      <w:szCs w:val="20"/>
    </w:rPr>
  </w:style>
  <w:style w:type="paragraph" w:customStyle="1" w:styleId="BulletPoint2">
    <w:name w:val="Bullet Point 2"/>
    <w:basedOn w:val="Normal"/>
    <w:rsid w:val="00721BCF"/>
    <w:pPr>
      <w:numPr>
        <w:numId w:val="5"/>
      </w:numPr>
      <w:spacing w:after="120" w:line="240" w:lineRule="atLeast"/>
      <w:ind w:right="567"/>
    </w:pPr>
    <w:rPr>
      <w:szCs w:val="20"/>
    </w:rPr>
  </w:style>
  <w:style w:type="paragraph" w:customStyle="1" w:styleId="BulletPoint3">
    <w:name w:val="Bullet Point 3"/>
    <w:basedOn w:val="Normal"/>
    <w:rsid w:val="00721BCF"/>
    <w:pPr>
      <w:numPr>
        <w:numId w:val="6"/>
      </w:numPr>
      <w:spacing w:line="240" w:lineRule="atLeast"/>
      <w:ind w:right="567"/>
    </w:pPr>
    <w:rPr>
      <w:szCs w:val="20"/>
    </w:rPr>
  </w:style>
  <w:style w:type="paragraph" w:styleId="Caption">
    <w:name w:val="caption"/>
    <w:basedOn w:val="Normal"/>
    <w:next w:val="Normal"/>
    <w:qFormat/>
    <w:rsid w:val="00721BCF"/>
    <w:pPr>
      <w:spacing w:before="240" w:after="240"/>
      <w:ind w:left="1134"/>
      <w:jc w:val="center"/>
    </w:pPr>
    <w:rPr>
      <w:b/>
      <w:bCs/>
      <w:szCs w:val="20"/>
    </w:rPr>
  </w:style>
  <w:style w:type="character" w:styleId="CommentReference">
    <w:name w:val="annotation reference"/>
    <w:basedOn w:val="DefaultParagraphFont"/>
    <w:semiHidden/>
    <w:rsid w:val="00721BCF"/>
    <w:rPr>
      <w:rFonts w:ascii="Arial" w:hAnsi="Arial"/>
      <w:sz w:val="14"/>
      <w:szCs w:val="16"/>
    </w:rPr>
  </w:style>
  <w:style w:type="paragraph" w:customStyle="1" w:styleId="DashPoint">
    <w:name w:val="Dash Point"/>
    <w:basedOn w:val="Normal"/>
    <w:rsid w:val="00721BCF"/>
    <w:pPr>
      <w:numPr>
        <w:numId w:val="7"/>
      </w:numPr>
      <w:spacing w:after="120" w:line="240" w:lineRule="atLeast"/>
      <w:ind w:right="567"/>
    </w:pPr>
    <w:rPr>
      <w:szCs w:val="20"/>
    </w:rPr>
  </w:style>
  <w:style w:type="paragraph" w:customStyle="1" w:styleId="DiamondPoint">
    <w:name w:val="Diamond Point"/>
    <w:basedOn w:val="Normal"/>
    <w:rsid w:val="008E7981"/>
    <w:pPr>
      <w:numPr>
        <w:numId w:val="8"/>
      </w:numPr>
      <w:spacing w:after="120" w:line="240" w:lineRule="atLeast"/>
      <w:ind w:right="567"/>
    </w:pPr>
    <w:rPr>
      <w:szCs w:val="20"/>
    </w:rPr>
  </w:style>
  <w:style w:type="paragraph" w:styleId="EnvelopeAddress">
    <w:name w:val="envelope address"/>
    <w:basedOn w:val="Normal"/>
    <w:rsid w:val="00721BCF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FollowedHyperlink">
    <w:name w:val="FollowedHyperlink"/>
    <w:basedOn w:val="DefaultParagraphFont"/>
    <w:rsid w:val="00721BCF"/>
    <w:rPr>
      <w:color w:val="800080"/>
      <w:u w:val="single"/>
    </w:rPr>
  </w:style>
  <w:style w:type="paragraph" w:styleId="Footer">
    <w:name w:val="footer"/>
    <w:basedOn w:val="Normal"/>
    <w:rsid w:val="00721BCF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721BCF"/>
    <w:rPr>
      <w:rFonts w:ascii="Arial" w:hAnsi="Arial"/>
      <w:sz w:val="16"/>
      <w:vertAlign w:val="superscript"/>
    </w:rPr>
  </w:style>
  <w:style w:type="paragraph" w:styleId="FootnoteText">
    <w:name w:val="footnote text"/>
    <w:basedOn w:val="Normal"/>
    <w:semiHidden/>
    <w:rsid w:val="00721BCF"/>
    <w:rPr>
      <w:sz w:val="16"/>
      <w:szCs w:val="20"/>
    </w:rPr>
  </w:style>
  <w:style w:type="paragraph" w:styleId="Header">
    <w:name w:val="header"/>
    <w:basedOn w:val="Normal"/>
    <w:rsid w:val="00721BCF"/>
    <w:pPr>
      <w:tabs>
        <w:tab w:val="center" w:pos="4678"/>
        <w:tab w:val="right" w:pos="9356"/>
      </w:tabs>
      <w:spacing w:after="480"/>
    </w:pPr>
    <w:rPr>
      <w:rFonts w:ascii="Arial Bold" w:hAnsi="Arial Bold"/>
      <w:b/>
      <w:sz w:val="16"/>
    </w:rPr>
  </w:style>
  <w:style w:type="paragraph" w:styleId="MessageHeader">
    <w:name w:val="Message Header"/>
    <w:basedOn w:val="Normal"/>
    <w:rsid w:val="00721B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paragraph" w:customStyle="1" w:styleId="NumberedPoint">
    <w:name w:val="Numbered Point"/>
    <w:basedOn w:val="Normal"/>
    <w:rsid w:val="00DD3E8C"/>
    <w:pPr>
      <w:numPr>
        <w:numId w:val="9"/>
      </w:numPr>
      <w:spacing w:after="120" w:line="240" w:lineRule="atLeast"/>
      <w:ind w:left="1134" w:right="567"/>
    </w:pPr>
    <w:rPr>
      <w:szCs w:val="20"/>
    </w:rPr>
  </w:style>
  <w:style w:type="character" w:styleId="PageNumber">
    <w:name w:val="page number"/>
    <w:basedOn w:val="DefaultParagraphFont"/>
    <w:rsid w:val="00721BCF"/>
    <w:rPr>
      <w:rFonts w:ascii="Arial" w:hAnsi="Arial"/>
      <w:i/>
      <w:sz w:val="16"/>
    </w:rPr>
  </w:style>
  <w:style w:type="paragraph" w:customStyle="1" w:styleId="SmallRoman">
    <w:name w:val="SmallRoman"/>
    <w:basedOn w:val="BodyText"/>
    <w:rsid w:val="003E72D8"/>
    <w:pPr>
      <w:numPr>
        <w:numId w:val="10"/>
      </w:numPr>
      <w:tabs>
        <w:tab w:val="clear" w:pos="1134"/>
        <w:tab w:val="left" w:pos="1701"/>
      </w:tabs>
      <w:ind w:left="1701" w:right="567"/>
    </w:pPr>
    <w:rPr>
      <w:szCs w:val="20"/>
    </w:rPr>
  </w:style>
  <w:style w:type="paragraph" w:styleId="TOC1">
    <w:name w:val="toc 1"/>
    <w:basedOn w:val="Normal"/>
    <w:next w:val="Normal"/>
    <w:semiHidden/>
    <w:rsid w:val="00721BCF"/>
    <w:pPr>
      <w:tabs>
        <w:tab w:val="right" w:leader="dot" w:pos="9406"/>
      </w:tabs>
      <w:spacing w:before="120" w:after="120"/>
      <w:ind w:left="567" w:hanging="567"/>
    </w:pPr>
    <w:rPr>
      <w:b/>
      <w:caps/>
    </w:rPr>
  </w:style>
  <w:style w:type="paragraph" w:styleId="TOC2">
    <w:name w:val="toc 2"/>
    <w:basedOn w:val="Normal"/>
    <w:next w:val="Normal"/>
    <w:semiHidden/>
    <w:rsid w:val="00721BCF"/>
    <w:pPr>
      <w:tabs>
        <w:tab w:val="right" w:leader="dot" w:pos="9406"/>
      </w:tabs>
      <w:spacing w:before="120" w:after="120"/>
      <w:ind w:left="1134" w:hanging="567"/>
    </w:pPr>
    <w:rPr>
      <w:b/>
      <w:i/>
      <w:caps/>
    </w:rPr>
  </w:style>
  <w:style w:type="paragraph" w:styleId="TOC3">
    <w:name w:val="toc 3"/>
    <w:basedOn w:val="Normal"/>
    <w:next w:val="Normal"/>
    <w:semiHidden/>
    <w:rsid w:val="00721BCF"/>
    <w:pPr>
      <w:tabs>
        <w:tab w:val="right" w:leader="dot" w:pos="9406"/>
      </w:tabs>
      <w:spacing w:before="60" w:after="60"/>
      <w:ind w:left="1843" w:hanging="709"/>
    </w:pPr>
    <w:rPr>
      <w:b/>
    </w:rPr>
  </w:style>
  <w:style w:type="paragraph" w:styleId="TOC4">
    <w:name w:val="toc 4"/>
    <w:basedOn w:val="Normal"/>
    <w:next w:val="Normal"/>
    <w:semiHidden/>
    <w:rsid w:val="00721BCF"/>
    <w:pPr>
      <w:tabs>
        <w:tab w:val="right" w:leader="dot" w:pos="9406"/>
      </w:tabs>
      <w:spacing w:before="60" w:after="60"/>
      <w:ind w:left="2552" w:hanging="709"/>
    </w:pPr>
    <w:rPr>
      <w:b/>
      <w:i/>
      <w:noProof/>
    </w:rPr>
  </w:style>
  <w:style w:type="paragraph" w:styleId="TOC5">
    <w:name w:val="toc 5"/>
    <w:basedOn w:val="Normal"/>
    <w:next w:val="Normal"/>
    <w:autoRedefine/>
    <w:semiHidden/>
    <w:rsid w:val="00721BCF"/>
    <w:pPr>
      <w:tabs>
        <w:tab w:val="right" w:leader="dot" w:pos="9406"/>
      </w:tabs>
      <w:ind w:left="6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721BCF"/>
    <w:pPr>
      <w:tabs>
        <w:tab w:val="right" w:leader="dot" w:pos="9406"/>
      </w:tabs>
      <w:ind w:left="88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721BCF"/>
    <w:pPr>
      <w:tabs>
        <w:tab w:val="right" w:leader="dot" w:pos="9406"/>
      </w:tabs>
      <w:ind w:left="110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721BCF"/>
    <w:pPr>
      <w:tabs>
        <w:tab w:val="right" w:leader="dot" w:pos="9406"/>
      </w:tabs>
      <w:ind w:left="1320"/>
    </w:pPr>
    <w:rPr>
      <w:sz w:val="18"/>
    </w:rPr>
  </w:style>
  <w:style w:type="paragraph" w:styleId="TOC9">
    <w:name w:val="toc 9"/>
    <w:basedOn w:val="Normal"/>
    <w:next w:val="Normal"/>
    <w:semiHidden/>
    <w:rsid w:val="00721BCF"/>
    <w:pPr>
      <w:tabs>
        <w:tab w:val="right" w:leader="dot" w:pos="9406"/>
      </w:tabs>
      <w:ind w:left="1540"/>
    </w:pPr>
    <w:rPr>
      <w:sz w:val="18"/>
    </w:rPr>
  </w:style>
  <w:style w:type="table" w:styleId="TableGrid">
    <w:name w:val="Table Grid"/>
    <w:basedOn w:val="TableNormal"/>
    <w:rsid w:val="00C63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2">
    <w:name w:val="Table Colorful 2"/>
    <w:basedOn w:val="TableNormal"/>
    <w:rsid w:val="00064B1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AET Impacts Summary</vt:lpstr>
    </vt:vector>
  </TitlesOfParts>
  <Company>IBI GROUP</Company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AET Impacts Summary</dc:title>
  <dc:creator>Ron Allen</dc:creator>
  <cp:lastModifiedBy>Ron Allen</cp:lastModifiedBy>
  <cp:revision>2</cp:revision>
  <cp:lastPrinted>2014-01-22T15:05:00Z</cp:lastPrinted>
  <dcterms:created xsi:type="dcterms:W3CDTF">2018-05-15T19:25:00Z</dcterms:created>
  <dcterms:modified xsi:type="dcterms:W3CDTF">2018-05-15T19:25:00Z</dcterms:modified>
</cp:coreProperties>
</file>